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8" w:rsidRPr="00325427" w:rsidRDefault="009C3268" w:rsidP="009C3268">
      <w:pPr>
        <w:jc w:val="center"/>
        <w:rPr>
          <w:b/>
        </w:rPr>
      </w:pPr>
      <w:r w:rsidRPr="00325427">
        <w:rPr>
          <w:noProof/>
        </w:rPr>
        <w:drawing>
          <wp:anchor distT="0" distB="0" distL="114300" distR="114300" simplePos="0" relativeHeight="251659264" behindDoc="0" locked="0" layoutInCell="1" allowOverlap="1" wp14:anchorId="1683F28A" wp14:editId="5EFC67DB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1057275" cy="895350"/>
            <wp:effectExtent l="0" t="0" r="9525" b="0"/>
            <wp:wrapSquare wrapText="bothSides"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27">
        <w:rPr>
          <w:b/>
        </w:rPr>
        <w:t>РЕПУБЛИКА БЪЛГАРИЯ</w:t>
      </w:r>
    </w:p>
    <w:p w:rsidR="009C3268" w:rsidRPr="00325427" w:rsidRDefault="009C3268" w:rsidP="009C3268">
      <w:pPr>
        <w:jc w:val="center"/>
        <w:rPr>
          <w:b/>
        </w:rPr>
      </w:pPr>
    </w:p>
    <w:p w:rsidR="009C3268" w:rsidRPr="00325427" w:rsidRDefault="009C3268" w:rsidP="009C3268">
      <w:pPr>
        <w:jc w:val="center"/>
        <w:rPr>
          <w:b/>
        </w:rPr>
      </w:pPr>
      <w:r w:rsidRPr="00325427">
        <w:rPr>
          <w:b/>
        </w:rPr>
        <w:t>Министерство на регионалното развитие и благоустройството</w:t>
      </w:r>
    </w:p>
    <w:p w:rsidR="009C3268" w:rsidRPr="00325427" w:rsidRDefault="009C3268" w:rsidP="009C3268">
      <w:pPr>
        <w:jc w:val="center"/>
        <w:rPr>
          <w:b/>
        </w:rPr>
      </w:pPr>
    </w:p>
    <w:p w:rsidR="009C3268" w:rsidRPr="00325427" w:rsidRDefault="009C3268" w:rsidP="009C3268">
      <w:pPr>
        <w:jc w:val="center"/>
        <w:rPr>
          <w:b/>
        </w:rPr>
      </w:pPr>
    </w:p>
    <w:p w:rsidR="009C3268" w:rsidRPr="00325427" w:rsidRDefault="009C3268" w:rsidP="009C3268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F82A5C" w:rsidRPr="00325427" w:rsidRDefault="00F82A5C" w:rsidP="00767107">
      <w:pPr>
        <w:spacing w:before="120" w:after="120"/>
        <w:jc w:val="center"/>
        <w:rPr>
          <w:b/>
          <w:spacing w:val="40"/>
          <w:lang w:eastAsia="en-US"/>
        </w:rPr>
      </w:pPr>
    </w:p>
    <w:p w:rsidR="00767107" w:rsidRPr="00325427" w:rsidRDefault="00767107" w:rsidP="00767107">
      <w:pPr>
        <w:spacing w:before="120" w:after="120"/>
        <w:jc w:val="center"/>
        <w:rPr>
          <w:b/>
          <w:spacing w:val="40"/>
          <w:lang w:eastAsia="en-US"/>
        </w:rPr>
      </w:pPr>
      <w:r w:rsidRPr="00325427">
        <w:rPr>
          <w:b/>
          <w:spacing w:val="40"/>
          <w:lang w:eastAsia="en-US"/>
        </w:rPr>
        <w:t>СПРАВКА</w:t>
      </w:r>
    </w:p>
    <w:p w:rsidR="00767107" w:rsidRPr="00325427" w:rsidRDefault="00767107" w:rsidP="00767107">
      <w:pPr>
        <w:tabs>
          <w:tab w:val="center" w:pos="4536"/>
          <w:tab w:val="right" w:pos="9072"/>
        </w:tabs>
        <w:jc w:val="center"/>
        <w:rPr>
          <w:b/>
        </w:rPr>
      </w:pPr>
      <w:r w:rsidRPr="00325427">
        <w:rPr>
          <w:b/>
        </w:rPr>
        <w:t xml:space="preserve">по чл. 26, ал. 5 от Закона за нормативните актове за постъпилите предложения </w:t>
      </w:r>
      <w:r w:rsidR="00586A7D" w:rsidRPr="00325427">
        <w:rPr>
          <w:b/>
        </w:rPr>
        <w:t xml:space="preserve">заедно с обосновка за неприетите предложения </w:t>
      </w:r>
      <w:r w:rsidR="00054070" w:rsidRPr="00325427">
        <w:rPr>
          <w:b/>
        </w:rPr>
        <w:t>по</w:t>
      </w:r>
      <w:r w:rsidRPr="00325427">
        <w:rPr>
          <w:b/>
        </w:rPr>
        <w:t xml:space="preserve"> проект на Наредба </w:t>
      </w:r>
      <w:r w:rsidR="00A31AD3" w:rsidRPr="00325427">
        <w:rPr>
          <w:b/>
        </w:rPr>
        <w:t>за технически правила и нормативи за контрол и приемане на електромонтажните работи</w:t>
      </w:r>
      <w:r w:rsidR="006F078B" w:rsidRPr="00325427">
        <w:t xml:space="preserve"> (</w:t>
      </w:r>
      <w:r w:rsidR="006F078B" w:rsidRPr="00325427">
        <w:rPr>
          <w:b/>
        </w:rPr>
        <w:t>НТПНКПЕР)</w:t>
      </w:r>
    </w:p>
    <w:p w:rsidR="00767107" w:rsidRPr="00325427" w:rsidRDefault="00767107" w:rsidP="00767107">
      <w:pPr>
        <w:tabs>
          <w:tab w:val="center" w:pos="4536"/>
          <w:tab w:val="right" w:pos="9072"/>
        </w:tabs>
        <w:jc w:val="center"/>
        <w:rPr>
          <w:b/>
        </w:rPr>
      </w:pPr>
    </w:p>
    <w:tbl>
      <w:tblPr>
        <w:tblW w:w="14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1985"/>
        <w:gridCol w:w="4435"/>
      </w:tblGrid>
      <w:tr w:rsidR="00532D82" w:rsidRPr="00325427" w:rsidTr="00A86835">
        <w:trPr>
          <w:trHeight w:val="627"/>
          <w:tblHeader/>
        </w:trPr>
        <w:tc>
          <w:tcPr>
            <w:tcW w:w="709" w:type="dxa"/>
            <w:shd w:val="clear" w:color="auto" w:fill="C6D9F1"/>
          </w:tcPr>
          <w:p w:rsidR="00532D82" w:rsidRPr="00325427" w:rsidRDefault="00532D82" w:rsidP="00A868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C6D9F1"/>
            <w:vAlign w:val="center"/>
          </w:tcPr>
          <w:p w:rsidR="00532D82" w:rsidRPr="00325427" w:rsidRDefault="00AD244C" w:rsidP="00767107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Постъпило предложение / Коментар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AD244C" w:rsidRPr="00325427" w:rsidRDefault="00AD244C" w:rsidP="00A8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Приема се /</w:t>
            </w:r>
          </w:p>
          <w:p w:rsidR="00532D82" w:rsidRPr="00325427" w:rsidRDefault="00AD244C" w:rsidP="00A8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Н</w:t>
            </w:r>
            <w:r w:rsidR="00532D82" w:rsidRPr="00325427">
              <w:rPr>
                <w:b/>
                <w:bCs/>
                <w:sz w:val="22"/>
                <w:szCs w:val="22"/>
              </w:rPr>
              <w:t>е се приема</w:t>
            </w:r>
          </w:p>
        </w:tc>
        <w:tc>
          <w:tcPr>
            <w:tcW w:w="1985" w:type="dxa"/>
            <w:shd w:val="clear" w:color="auto" w:fill="C6D9F1"/>
          </w:tcPr>
          <w:p w:rsidR="00532D82" w:rsidRPr="00325427" w:rsidRDefault="001D02EC" w:rsidP="001D02EC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4435" w:type="dxa"/>
            <w:shd w:val="clear" w:color="auto" w:fill="C6D9F1"/>
            <w:vAlign w:val="center"/>
          </w:tcPr>
          <w:p w:rsidR="00532D82" w:rsidRPr="00325427" w:rsidRDefault="00532D82" w:rsidP="00A86835">
            <w:pPr>
              <w:jc w:val="both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Обосновка за неприетите предложения</w:t>
            </w:r>
          </w:p>
        </w:tc>
      </w:tr>
      <w:tr w:rsidR="00532D82" w:rsidRPr="00325427" w:rsidTr="00A86835">
        <w:trPr>
          <w:tblHeader/>
        </w:trPr>
        <w:tc>
          <w:tcPr>
            <w:tcW w:w="709" w:type="dxa"/>
          </w:tcPr>
          <w:p w:rsidR="00532D82" w:rsidRPr="00325427" w:rsidRDefault="00AD244C" w:rsidP="00A86835">
            <w:pPr>
              <w:tabs>
                <w:tab w:val="left" w:pos="448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542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AD244C" w:rsidP="00767107">
            <w:pPr>
              <w:tabs>
                <w:tab w:val="left" w:pos="448"/>
              </w:tabs>
              <w:ind w:left="36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5427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2D82" w:rsidRPr="00325427" w:rsidRDefault="00AD244C" w:rsidP="00A86835">
            <w:pPr>
              <w:jc w:val="center"/>
              <w:rPr>
                <w:bCs/>
                <w:i/>
                <w:sz w:val="18"/>
                <w:szCs w:val="18"/>
              </w:rPr>
            </w:pPr>
            <w:r w:rsidRPr="00325427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32D82" w:rsidRPr="00325427" w:rsidRDefault="00AD244C" w:rsidP="00767107">
            <w:pPr>
              <w:jc w:val="center"/>
              <w:rPr>
                <w:i/>
                <w:sz w:val="18"/>
                <w:szCs w:val="18"/>
              </w:rPr>
            </w:pPr>
            <w:r w:rsidRPr="0032542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532D82" w:rsidRPr="00325427" w:rsidRDefault="00AD244C" w:rsidP="00A86835">
            <w:pPr>
              <w:jc w:val="center"/>
              <w:rPr>
                <w:i/>
                <w:sz w:val="18"/>
                <w:szCs w:val="18"/>
              </w:rPr>
            </w:pPr>
            <w:r w:rsidRPr="00325427">
              <w:rPr>
                <w:i/>
                <w:sz w:val="18"/>
                <w:szCs w:val="18"/>
              </w:rPr>
              <w:t>5</w:t>
            </w:r>
          </w:p>
        </w:tc>
      </w:tr>
      <w:tr w:rsidR="00532D82" w:rsidRPr="00325427" w:rsidTr="00A86835">
        <w:tc>
          <w:tcPr>
            <w:tcW w:w="709" w:type="dxa"/>
            <w:shd w:val="clear" w:color="auto" w:fill="FBD4B4" w:themeFill="accent6" w:themeFillTint="66"/>
          </w:tcPr>
          <w:p w:rsidR="00532D82" w:rsidRPr="00325427" w:rsidRDefault="00532D82" w:rsidP="009A2C08">
            <w:pPr>
              <w:pStyle w:val="ListParagraph"/>
              <w:ind w:left="0"/>
              <w:jc w:val="center"/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A2C08"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6" w:type="dxa"/>
            <w:gridSpan w:val="4"/>
            <w:shd w:val="clear" w:color="auto" w:fill="FBD4B4" w:themeFill="accent6" w:themeFillTint="66"/>
          </w:tcPr>
          <w:p w:rsidR="00532D82" w:rsidRPr="00325427" w:rsidRDefault="00A31AD3" w:rsidP="00196B8C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25427">
              <w:rPr>
                <w:b/>
                <w:i/>
                <w:color w:val="000000" w:themeColor="text1"/>
                <w:sz w:val="22"/>
                <w:szCs w:val="22"/>
              </w:rPr>
              <w:t>Предложения, направени от Изпълнителна агенция „Главна инспекция по труда“, представени с писмо с вх. №</w:t>
            </w:r>
            <w:r w:rsidR="003C2B41" w:rsidRPr="0032542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25427">
              <w:rPr>
                <w:b/>
                <w:i/>
                <w:color w:val="000000" w:themeColor="text1"/>
                <w:sz w:val="22"/>
                <w:szCs w:val="22"/>
              </w:rPr>
              <w:t>03-02-46 от</w:t>
            </w:r>
            <w:r w:rsidR="00A86835" w:rsidRPr="0032542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25427">
              <w:rPr>
                <w:b/>
                <w:i/>
                <w:color w:val="000000" w:themeColor="text1"/>
                <w:sz w:val="22"/>
                <w:szCs w:val="22"/>
              </w:rPr>
              <w:t>08.01.2018 г.</w:t>
            </w:r>
          </w:p>
        </w:tc>
      </w:tr>
      <w:tr w:rsidR="00532D82" w:rsidRPr="00325427" w:rsidTr="00A86835">
        <w:trPr>
          <w:trHeight w:val="836"/>
        </w:trPr>
        <w:tc>
          <w:tcPr>
            <w:tcW w:w="709" w:type="dxa"/>
          </w:tcPr>
          <w:p w:rsidR="00532D82" w:rsidRPr="00325427" w:rsidRDefault="00BD5DFF" w:rsidP="00A86835">
            <w:pPr>
              <w:tabs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4070" w:rsidRPr="00325427" w:rsidRDefault="006F078B" w:rsidP="00A77CBC">
            <w:pPr>
              <w:tabs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Съгласно чл. 2, ал. 1 от проекта на НТПНКПЕР: „Наредбата се прилага в места с нормална пожарна опасност ...". В същото време в Раздел V „Електромонтажни раб</w:t>
            </w:r>
            <w:r w:rsidR="001D02EC" w:rsidRPr="00325427">
              <w:rPr>
                <w:rFonts w:eastAsia="Calibri"/>
                <w:sz w:val="22"/>
                <w:szCs w:val="22"/>
                <w:lang w:eastAsia="en-US"/>
              </w:rPr>
              <w:t xml:space="preserve">оти в </w:t>
            </w:r>
            <w:proofErr w:type="spellStart"/>
            <w:r w:rsidR="001D02EC" w:rsidRPr="00325427">
              <w:rPr>
                <w:rFonts w:eastAsia="Calibri"/>
                <w:sz w:val="22"/>
                <w:szCs w:val="22"/>
                <w:lang w:eastAsia="en-US"/>
              </w:rPr>
              <w:t>пожароопасни</w:t>
            </w:r>
            <w:proofErr w:type="spellEnd"/>
            <w:r w:rsidR="001D02EC" w:rsidRPr="00325427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1D02EC" w:rsidRPr="00325427">
              <w:rPr>
                <w:rFonts w:eastAsia="Calibri"/>
                <w:sz w:val="22"/>
                <w:szCs w:val="22"/>
                <w:lang w:eastAsia="en-US"/>
              </w:rPr>
              <w:t>експлозиво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зони" на Глава втора се разглеждат въпроси, отнасящи се до „електромонтажни работи в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пожароопас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взривоопасни зони". Предлагаме текстът да се прецизира като се укаже, че освен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изиск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ванията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наредбата се спазват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специфич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ните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изисквания, отнасящи се до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пожароопасни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взривоопасни зони, както за електрически уредби и електропроводни линии,</w:t>
            </w:r>
            <w:r w:rsidR="003C2B41" w:rsidRPr="00325427">
              <w:rPr>
                <w:rFonts w:eastAsia="Calibri"/>
                <w:sz w:val="22"/>
                <w:szCs w:val="22"/>
                <w:lang w:eastAsia="en-US"/>
              </w:rPr>
              <w:t xml:space="preserve"> така и уредби за мълниезащита.</w:t>
            </w:r>
          </w:p>
        </w:tc>
        <w:tc>
          <w:tcPr>
            <w:tcW w:w="3118" w:type="dxa"/>
            <w:shd w:val="clear" w:color="auto" w:fill="auto"/>
          </w:tcPr>
          <w:p w:rsidR="00532D82" w:rsidRDefault="00A77CBC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Приема</w:t>
            </w:r>
            <w:r w:rsidR="00AB3FC5" w:rsidRPr="00325427">
              <w:rPr>
                <w:bCs/>
                <w:sz w:val="22"/>
                <w:szCs w:val="22"/>
              </w:rPr>
              <w:t xml:space="preserve"> се</w:t>
            </w:r>
            <w:r w:rsidR="00CC3F3B">
              <w:rPr>
                <w:bCs/>
                <w:sz w:val="22"/>
                <w:szCs w:val="22"/>
              </w:rPr>
              <w:t xml:space="preserve"> частично</w:t>
            </w:r>
            <w:r w:rsidR="00054070" w:rsidRPr="00325427">
              <w:rPr>
                <w:bCs/>
                <w:sz w:val="22"/>
                <w:szCs w:val="22"/>
              </w:rPr>
              <w:t>.</w:t>
            </w:r>
          </w:p>
          <w:p w:rsidR="00CC3F3B" w:rsidRPr="00325427" w:rsidRDefault="00CC3F3B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CC3F3B">
              <w:rPr>
                <w:bCs/>
                <w:sz w:val="22"/>
                <w:szCs w:val="22"/>
              </w:rPr>
              <w:t xml:space="preserve">Текстът на чл. 2 на проекта на НТПНКПЕР е </w:t>
            </w:r>
            <w:proofErr w:type="spellStart"/>
            <w:r w:rsidRPr="00CC3F3B">
              <w:rPr>
                <w:bCs/>
                <w:sz w:val="22"/>
                <w:szCs w:val="22"/>
              </w:rPr>
              <w:t>прередакти</w:t>
            </w:r>
            <w:r>
              <w:rPr>
                <w:bCs/>
                <w:sz w:val="22"/>
                <w:szCs w:val="22"/>
              </w:rPr>
              <w:t>-</w:t>
            </w:r>
            <w:r w:rsidRPr="00CC3F3B">
              <w:rPr>
                <w:bCs/>
                <w:sz w:val="22"/>
                <w:szCs w:val="22"/>
              </w:rPr>
              <w:t>ран</w:t>
            </w:r>
            <w:proofErr w:type="spellEnd"/>
            <w:r w:rsidRPr="00CC3F3B">
              <w:rPr>
                <w:bCs/>
                <w:sz w:val="22"/>
                <w:szCs w:val="22"/>
              </w:rPr>
              <w:t xml:space="preserve"> съобразно предложението.</w:t>
            </w:r>
          </w:p>
        </w:tc>
        <w:tc>
          <w:tcPr>
            <w:tcW w:w="1985" w:type="dxa"/>
          </w:tcPr>
          <w:p w:rsidR="002515B4" w:rsidRPr="00325427" w:rsidRDefault="002515B4" w:rsidP="00A1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Текстът да се до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пълни с разпоредба</w:t>
            </w:r>
            <w:r w:rsidR="00A15DC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25427">
              <w:t xml:space="preserve"> 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че освен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изисква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нията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проекта на наредба се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спаз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ват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специфични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те изисквания,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насящи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се до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пожа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роопасни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експло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зивоопасни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зони</w:t>
            </w:r>
            <w:r w:rsidR="000A7C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32D82" w:rsidRPr="00325427" w:rsidRDefault="001D02EC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Това уточняване е необходимо, тъй като в случай, че не е направено, чл. 27, ал. 2 не би следвало да се прилага за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мълние</w:t>
            </w:r>
            <w:r w:rsidR="00A86835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защитни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уредби от 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първа и втора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кате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гория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мълниеза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щита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>, което опре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делено ще бъде празнина в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наред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бата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35" w:type="dxa"/>
            <w:shd w:val="clear" w:color="auto" w:fill="auto"/>
          </w:tcPr>
          <w:p w:rsidR="00532D82" w:rsidRPr="00325427" w:rsidRDefault="00AB3FC5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lastRenderedPageBreak/>
              <w:t xml:space="preserve">Текстът на чл. 27 от проекта </w:t>
            </w:r>
            <w:r w:rsidR="00A86835" w:rsidRPr="00325427">
              <w:rPr>
                <w:sz w:val="22"/>
                <w:szCs w:val="22"/>
              </w:rPr>
              <w:t xml:space="preserve">на НТПНКПЕР </w:t>
            </w:r>
            <w:r w:rsidRPr="00325427">
              <w:rPr>
                <w:sz w:val="22"/>
                <w:szCs w:val="22"/>
              </w:rPr>
              <w:t>няма ал. 2 и не намираме обяснение за направената връзка с категориите на мълниезащита.</w:t>
            </w:r>
          </w:p>
        </w:tc>
      </w:tr>
      <w:tr w:rsidR="00532D82" w:rsidRPr="00325427" w:rsidTr="00A86835">
        <w:trPr>
          <w:trHeight w:val="2148"/>
        </w:trPr>
        <w:tc>
          <w:tcPr>
            <w:tcW w:w="709" w:type="dxa"/>
          </w:tcPr>
          <w:p w:rsidR="00532D82" w:rsidRPr="00325427" w:rsidRDefault="00F03FF4" w:rsidP="00A86835">
            <w:pPr>
              <w:tabs>
                <w:tab w:val="left" w:pos="448"/>
              </w:tabs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41042D" w:rsidP="00A77CBC">
            <w:pPr>
              <w:tabs>
                <w:tab w:val="left" w:pos="448"/>
              </w:tabs>
              <w:spacing w:after="120"/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Използваният термин в чл. 5, ал. 1 „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специа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лизирани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лаборатории" е необходимо да се уточни в контекста на Закона за националната акредитация на органи за оценяване на съответствието, при отчитане на обхвата на акредитацията, извършвана от Българска служба за акредитация, вкл. и за прегледи, така както изисква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горецитирания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член.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41042D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tabs>
                <w:tab w:val="left" w:pos="448"/>
              </w:tabs>
              <w:spacing w:after="120"/>
              <w:ind w:left="164" w:firstLine="170"/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41042D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>Текстът на чл. 5, ал. 1 определя основните възможности за извършване на необходими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 xml:space="preserve">те проверки на резултатите от </w:t>
            </w:r>
            <w:proofErr w:type="spellStart"/>
            <w:r w:rsidRPr="00325427">
              <w:rPr>
                <w:sz w:val="22"/>
                <w:szCs w:val="22"/>
              </w:rPr>
              <w:t>електромон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тажните</w:t>
            </w:r>
            <w:proofErr w:type="spellEnd"/>
            <w:r w:rsidRPr="00325427">
              <w:rPr>
                <w:sz w:val="22"/>
                <w:szCs w:val="22"/>
              </w:rPr>
              <w:t xml:space="preserve"> работи - от квалифициран персонал на строителя (изпълнителя на </w:t>
            </w:r>
            <w:proofErr w:type="spellStart"/>
            <w:r w:rsidRPr="00325427">
              <w:rPr>
                <w:sz w:val="22"/>
                <w:szCs w:val="22"/>
              </w:rPr>
              <w:t>електромон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тажните</w:t>
            </w:r>
            <w:proofErr w:type="spellEnd"/>
            <w:r w:rsidRPr="00325427">
              <w:rPr>
                <w:sz w:val="22"/>
                <w:szCs w:val="22"/>
              </w:rPr>
              <w:t xml:space="preserve"> работи) и/или от специализирани лаборатории. Тези проверки нямат общо с дейността на органите за контрол</w:t>
            </w:r>
            <w:r w:rsidR="001D6731">
              <w:rPr>
                <w:sz w:val="22"/>
                <w:szCs w:val="22"/>
              </w:rPr>
              <w:t>,</w:t>
            </w:r>
            <w:r w:rsidRPr="00325427">
              <w:rPr>
                <w:sz w:val="22"/>
                <w:szCs w:val="22"/>
              </w:rPr>
              <w:t xml:space="preserve"> </w:t>
            </w:r>
            <w:proofErr w:type="spellStart"/>
            <w:r w:rsidRPr="00325427">
              <w:rPr>
                <w:sz w:val="22"/>
                <w:szCs w:val="22"/>
              </w:rPr>
              <w:t>акреди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тирани</w:t>
            </w:r>
            <w:proofErr w:type="spellEnd"/>
            <w:r w:rsidRPr="00325427">
              <w:rPr>
                <w:sz w:val="22"/>
                <w:szCs w:val="22"/>
              </w:rPr>
              <w:t xml:space="preserve"> от </w:t>
            </w:r>
            <w:r w:rsidR="00110FFB" w:rsidRPr="00325427">
              <w:rPr>
                <w:sz w:val="22"/>
                <w:szCs w:val="22"/>
              </w:rPr>
              <w:t>Българска служба за акредитация (</w:t>
            </w:r>
            <w:r w:rsidRPr="00325427">
              <w:rPr>
                <w:sz w:val="22"/>
                <w:szCs w:val="22"/>
              </w:rPr>
              <w:t>БСА</w:t>
            </w:r>
            <w:r w:rsidR="00110FFB" w:rsidRPr="00325427">
              <w:rPr>
                <w:sz w:val="22"/>
                <w:szCs w:val="22"/>
              </w:rPr>
              <w:t>). Това</w:t>
            </w:r>
            <w:r w:rsidRPr="00325427">
              <w:rPr>
                <w:sz w:val="22"/>
                <w:szCs w:val="22"/>
              </w:rPr>
              <w:t xml:space="preserve"> не изключва възможността при приемане на завършени електромонтажни работи, по изрично искане на възложителя, необходимите измервания и/или изпитвания да се извършват от органи за контрол</w:t>
            </w:r>
            <w:r w:rsidR="00110FFB" w:rsidRPr="00325427">
              <w:rPr>
                <w:sz w:val="22"/>
                <w:szCs w:val="22"/>
              </w:rPr>
              <w:t>,</w:t>
            </w:r>
            <w:r w:rsidRPr="00325427">
              <w:rPr>
                <w:sz w:val="22"/>
                <w:szCs w:val="22"/>
              </w:rPr>
              <w:t xml:space="preserve"> акредитирани от БСА, при спазване на изискванията на проекта</w:t>
            </w:r>
            <w:r w:rsidR="00110FFB" w:rsidRPr="00325427">
              <w:rPr>
                <w:sz w:val="22"/>
                <w:szCs w:val="22"/>
              </w:rPr>
              <w:t xml:space="preserve"> на</w:t>
            </w:r>
            <w:r w:rsidR="00110FFB" w:rsidRPr="00325427">
              <w:t xml:space="preserve"> </w:t>
            </w:r>
            <w:r w:rsidR="00110FFB" w:rsidRPr="00325427">
              <w:rPr>
                <w:sz w:val="22"/>
                <w:szCs w:val="22"/>
              </w:rPr>
              <w:t>НТПНКПЕР</w:t>
            </w:r>
            <w:r w:rsidRPr="00325427">
              <w:rPr>
                <w:sz w:val="22"/>
                <w:szCs w:val="22"/>
              </w:rPr>
              <w:t>.</w:t>
            </w:r>
          </w:p>
        </w:tc>
      </w:tr>
      <w:tr w:rsidR="00532D82" w:rsidRPr="00325427" w:rsidTr="00A86835">
        <w:trPr>
          <w:trHeight w:val="624"/>
        </w:trPr>
        <w:tc>
          <w:tcPr>
            <w:tcW w:w="709" w:type="dxa"/>
          </w:tcPr>
          <w:p w:rsidR="00532D82" w:rsidRPr="00325427" w:rsidRDefault="00432F6B" w:rsidP="00A86835">
            <w:pPr>
              <w:tabs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81161" w:rsidRPr="00325427" w:rsidRDefault="00432F6B" w:rsidP="00A77CBC">
            <w:pPr>
              <w:tabs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чл. 5, ал. 2 намираме за целесъобразно, освен специалните изисквания</w:t>
            </w:r>
            <w:r w:rsidR="00D036ED" w:rsidRPr="0032542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които трябва да отговарят средствата за измерване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изпит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вателната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апаратура за електрически уредби за ниско напрежение, в същия член да се посочат (дори и рамково) изисквания на които трябва да отговарят средствата за измерване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изпитва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телната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апаратура за електрически уредб</w:t>
            </w:r>
            <w:r w:rsidR="00D036ED" w:rsidRPr="00325427">
              <w:rPr>
                <w:rFonts w:eastAsia="Calibri"/>
                <w:sz w:val="22"/>
                <w:szCs w:val="22"/>
                <w:lang w:eastAsia="en-US"/>
              </w:rPr>
              <w:t>и над 1000 V променливо напреже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ние и 1500 V 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постоянно напрежение.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D036ED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lastRenderedPageBreak/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tabs>
                <w:tab w:val="left" w:pos="448"/>
              </w:tabs>
              <w:ind w:left="164"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D036ED" w:rsidRPr="00325427" w:rsidRDefault="00D036ED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>Изискванията към тестовата апаратура</w:t>
            </w:r>
            <w:r w:rsidR="001D6731">
              <w:rPr>
                <w:sz w:val="22"/>
                <w:szCs w:val="22"/>
              </w:rPr>
              <w:t>,</w:t>
            </w:r>
            <w:r w:rsidRPr="00325427">
              <w:rPr>
                <w:sz w:val="22"/>
                <w:szCs w:val="22"/>
              </w:rPr>
              <w:t xml:space="preserve"> регламентирани в проекта са базирани на европейски стандарти, които се отнасят за напрежения</w:t>
            </w:r>
            <w:r w:rsidR="00F8509A" w:rsidRPr="00325427">
              <w:rPr>
                <w:sz w:val="22"/>
                <w:szCs w:val="22"/>
              </w:rPr>
              <w:t xml:space="preserve"> до 1000 V</w:t>
            </w:r>
            <w:r w:rsidRPr="00325427">
              <w:rPr>
                <w:sz w:val="22"/>
                <w:szCs w:val="22"/>
              </w:rPr>
              <w:t xml:space="preserve">. </w:t>
            </w:r>
            <w:r w:rsidR="00F8509A" w:rsidRPr="00325427">
              <w:rPr>
                <w:sz w:val="22"/>
                <w:szCs w:val="22"/>
              </w:rPr>
              <w:t>Н</w:t>
            </w:r>
            <w:r w:rsidRPr="00325427">
              <w:rPr>
                <w:sz w:val="22"/>
                <w:szCs w:val="22"/>
              </w:rPr>
              <w:t xml:space="preserve">ямаме информация за европейски стандарти за специализирана апаратура за изпитвания при напрежения над 1000 V, например за </w:t>
            </w:r>
            <w:proofErr w:type="spellStart"/>
            <w:r w:rsidRPr="00325427">
              <w:rPr>
                <w:sz w:val="22"/>
                <w:szCs w:val="22"/>
              </w:rPr>
              <w:t>кенотрони</w:t>
            </w:r>
            <w:proofErr w:type="spellEnd"/>
            <w:r w:rsidRPr="00325427">
              <w:rPr>
                <w:sz w:val="22"/>
                <w:szCs w:val="22"/>
              </w:rPr>
              <w:t>.</w:t>
            </w:r>
          </w:p>
          <w:p w:rsidR="00532D82" w:rsidRPr="00325427" w:rsidRDefault="00D036ED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 xml:space="preserve">Недопустимо е в проекта </w:t>
            </w:r>
            <w:r w:rsidR="00A86835" w:rsidRPr="00325427">
              <w:rPr>
                <w:sz w:val="22"/>
                <w:szCs w:val="22"/>
              </w:rPr>
              <w:t xml:space="preserve">на НТПНКПЕР </w:t>
            </w:r>
            <w:r w:rsidRPr="00325427">
              <w:rPr>
                <w:sz w:val="22"/>
                <w:szCs w:val="22"/>
              </w:rPr>
              <w:t>да бъдат включени рамкови изисквания.</w:t>
            </w:r>
          </w:p>
        </w:tc>
      </w:tr>
      <w:tr w:rsidR="00532D82" w:rsidRPr="00325427" w:rsidTr="00196B8C">
        <w:trPr>
          <w:trHeight w:val="20"/>
        </w:trPr>
        <w:tc>
          <w:tcPr>
            <w:tcW w:w="709" w:type="dxa"/>
          </w:tcPr>
          <w:p w:rsidR="00532D82" w:rsidRPr="00325427" w:rsidRDefault="00CF6139" w:rsidP="00A86835">
            <w:pPr>
              <w:tabs>
                <w:tab w:val="left" w:pos="164"/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1.4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23254A" w:rsidP="00A77CBC">
            <w:pPr>
              <w:tabs>
                <w:tab w:val="left" w:pos="0"/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чл. 20 - доколкото е възможно да се използват изцяло медни шини, да се посочат критериите за определяне на сигурността на съединенията и на такива шини.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23254A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23254A" w:rsidRPr="00325427" w:rsidRDefault="0023254A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Текстът е допълнен със </w:t>
            </w:r>
            <w:proofErr w:type="spellStart"/>
            <w:r w:rsidRPr="00325427">
              <w:rPr>
                <w:bCs/>
                <w:sz w:val="22"/>
                <w:szCs w:val="22"/>
              </w:rPr>
              <w:t>след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ното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изречение:</w:t>
            </w:r>
          </w:p>
          <w:p w:rsidR="00532D82" w:rsidRPr="00325427" w:rsidRDefault="0023254A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„Тази проверка не се </w:t>
            </w:r>
            <w:proofErr w:type="spellStart"/>
            <w:r w:rsidRPr="00325427">
              <w:rPr>
                <w:bCs/>
                <w:sz w:val="22"/>
                <w:szCs w:val="22"/>
              </w:rPr>
              <w:t>извър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шва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за медни шини.“</w:t>
            </w:r>
          </w:p>
        </w:tc>
        <w:tc>
          <w:tcPr>
            <w:tcW w:w="1985" w:type="dxa"/>
          </w:tcPr>
          <w:p w:rsidR="00532D82" w:rsidRPr="00325427" w:rsidRDefault="00532D82" w:rsidP="00BD5DF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1A15F9" w:rsidP="00A86835">
            <w:pPr>
              <w:tabs>
                <w:tab w:val="left" w:pos="164"/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1.5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BF7E27" w:rsidP="00A77CBC">
            <w:pPr>
              <w:tabs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23 - предлагаме в приложение, чрез електрическа схема, или по друг подходящ начин, да се уточнят понятията „участък на съединението (съединителя)" и „част от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про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водника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със същата дължина", тъй като е очевидно, че електрическото съпротивление на участъка на съединението ще зависи от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разпо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ложението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точките към които се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присъеди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нява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измервателната апаратура.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043DE1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</w:t>
            </w:r>
            <w:r w:rsidR="00BF7E27" w:rsidRPr="00325427">
              <w:rPr>
                <w:bCs/>
                <w:sz w:val="22"/>
                <w:szCs w:val="22"/>
              </w:rPr>
              <w:t>риема</w:t>
            </w:r>
            <w:r w:rsidRPr="00325427">
              <w:rPr>
                <w:bCs/>
                <w:sz w:val="22"/>
                <w:szCs w:val="22"/>
              </w:rPr>
              <w:t xml:space="preserve"> се</w:t>
            </w:r>
            <w:r w:rsidR="00BF7E27" w:rsidRPr="00325427">
              <w:rPr>
                <w:bCs/>
                <w:sz w:val="22"/>
                <w:szCs w:val="22"/>
              </w:rPr>
              <w:t>.</w:t>
            </w:r>
          </w:p>
          <w:p w:rsidR="00043DE1" w:rsidRPr="00325427" w:rsidRDefault="00043DE1" w:rsidP="00196B8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В текста на чл. 23 е напра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вено поясняващо допълнение:</w:t>
            </w:r>
            <w:r w:rsidR="00CC5013" w:rsidRPr="00325427">
              <w:rPr>
                <w:bCs/>
                <w:sz w:val="22"/>
                <w:szCs w:val="22"/>
              </w:rPr>
              <w:t xml:space="preserve"> </w:t>
            </w:r>
            <w:r w:rsidRPr="00325427">
              <w:rPr>
                <w:bCs/>
                <w:sz w:val="22"/>
                <w:szCs w:val="22"/>
              </w:rPr>
              <w:t>„от двете страни на съедини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теля“.</w:t>
            </w:r>
          </w:p>
        </w:tc>
        <w:tc>
          <w:tcPr>
            <w:tcW w:w="1985" w:type="dxa"/>
          </w:tcPr>
          <w:p w:rsidR="00532D82" w:rsidRPr="00325427" w:rsidRDefault="00532D82" w:rsidP="00BB7410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164"/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1.6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043DE1" w:rsidP="00A77CBC">
            <w:pPr>
              <w:tabs>
                <w:tab w:val="left" w:pos="164"/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В чл. 28, ал. 3, т. 1 да се укаже какво се разбира под „машини със средна мощност" и „машини с голяма мощност".</w:t>
            </w:r>
          </w:p>
        </w:tc>
        <w:tc>
          <w:tcPr>
            <w:tcW w:w="3118" w:type="dxa"/>
            <w:shd w:val="clear" w:color="auto" w:fill="auto"/>
          </w:tcPr>
          <w:p w:rsidR="00043DE1" w:rsidRPr="00325427" w:rsidRDefault="00043DE1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532D82" w:rsidRPr="00325427" w:rsidRDefault="00043DE1" w:rsidP="00196B8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Класификацията на </w:t>
            </w:r>
            <w:proofErr w:type="spellStart"/>
            <w:r w:rsidRPr="00325427">
              <w:rPr>
                <w:bCs/>
                <w:sz w:val="22"/>
                <w:szCs w:val="22"/>
              </w:rPr>
              <w:t>електри</w:t>
            </w:r>
            <w:r w:rsidR="00A86835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ческите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машини по мощност е добре известна, но текстът на чл. 28, ал. 3 ще бъде </w:t>
            </w:r>
            <w:proofErr w:type="spellStart"/>
            <w:r w:rsidRPr="00325427">
              <w:rPr>
                <w:bCs/>
                <w:sz w:val="22"/>
                <w:szCs w:val="22"/>
              </w:rPr>
              <w:t>премах</w:t>
            </w:r>
            <w:r w:rsidR="009238D6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нат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, защото се отнася </w:t>
            </w:r>
            <w:r w:rsidR="00196B8C">
              <w:rPr>
                <w:bCs/>
                <w:sz w:val="22"/>
                <w:szCs w:val="22"/>
              </w:rPr>
              <w:t>към</w:t>
            </w:r>
            <w:r w:rsidRPr="00325427">
              <w:rPr>
                <w:bCs/>
                <w:sz w:val="22"/>
                <w:szCs w:val="22"/>
              </w:rPr>
              <w:t xml:space="preserve"> технология, а не за контрол на електромонтажни работи.</w:t>
            </w:r>
          </w:p>
        </w:tc>
        <w:tc>
          <w:tcPr>
            <w:tcW w:w="1985" w:type="dxa"/>
          </w:tcPr>
          <w:p w:rsidR="00532D82" w:rsidRPr="00325427" w:rsidRDefault="00532D82" w:rsidP="007671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rPr>
          <w:trHeight w:val="811"/>
        </w:trPr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1.7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043DE1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32 - доколкото наредбата се отнася до електрически уредби до и над 1000 V, стесняването на обхвата на Раздел V „Електромонтажни работи в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пожароопасни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експлозивоопасни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зони" на Глава втора, не съответства на приложното поле на наредбата, определено в чл. 2.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043DE1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043DE1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 xml:space="preserve">На настоящия етап няма база, върху която да бъдат регламентирани изисквания за извършване на електромонтажни работи в </w:t>
            </w:r>
            <w:proofErr w:type="spellStart"/>
            <w:r w:rsidRPr="00325427">
              <w:rPr>
                <w:sz w:val="22"/>
                <w:szCs w:val="22"/>
              </w:rPr>
              <w:t>пожароопасни</w:t>
            </w:r>
            <w:proofErr w:type="spellEnd"/>
            <w:r w:rsidRPr="00325427">
              <w:rPr>
                <w:sz w:val="22"/>
                <w:szCs w:val="22"/>
              </w:rPr>
              <w:t xml:space="preserve"> и </w:t>
            </w:r>
            <w:proofErr w:type="spellStart"/>
            <w:r w:rsidRPr="00325427">
              <w:rPr>
                <w:sz w:val="22"/>
                <w:szCs w:val="22"/>
              </w:rPr>
              <w:t>експлозивоопасни</w:t>
            </w:r>
            <w:proofErr w:type="spellEnd"/>
            <w:r w:rsidRPr="00325427">
              <w:rPr>
                <w:sz w:val="22"/>
                <w:szCs w:val="22"/>
              </w:rPr>
              <w:t xml:space="preserve"> зони при напрежения над 1000 V.</w:t>
            </w:r>
          </w:p>
        </w:tc>
      </w:tr>
      <w:tr w:rsidR="00532D82" w:rsidRPr="00325427" w:rsidTr="00A86835">
        <w:trPr>
          <w:trHeight w:val="1234"/>
        </w:trPr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lastRenderedPageBreak/>
              <w:t>1.8</w:t>
            </w:r>
            <w:r w:rsidR="00BD5DFF" w:rsidRPr="00325427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043DE1" w:rsidP="00A77CBC">
            <w:pPr>
              <w:tabs>
                <w:tab w:val="left" w:pos="352"/>
              </w:tabs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>В случай, че наредбата не се отнася само за мълниезащита на обекти от трета категория, това изрично да се укаже. От позоваването на Наредба № 4 от 2010 г. за мълниезащитата на сгради, външни съоръжения и открити пространства (</w:t>
            </w:r>
            <w:proofErr w:type="spellStart"/>
            <w:r w:rsidRPr="00325427">
              <w:rPr>
                <w:sz w:val="22"/>
                <w:szCs w:val="22"/>
              </w:rPr>
              <w:t>обн</w:t>
            </w:r>
            <w:proofErr w:type="spellEnd"/>
            <w:r w:rsidRPr="00325427">
              <w:rPr>
                <w:sz w:val="22"/>
                <w:szCs w:val="22"/>
              </w:rPr>
              <w:t>. ДВ, бр. 6 от 2011 г.), може да се направи извода, че НТПНКПЕР се отнася за всяка една от категориите за мълниезащита.</w:t>
            </w:r>
          </w:p>
        </w:tc>
        <w:tc>
          <w:tcPr>
            <w:tcW w:w="3118" w:type="dxa"/>
            <w:shd w:val="clear" w:color="auto" w:fill="auto"/>
          </w:tcPr>
          <w:p w:rsidR="00043DE1" w:rsidRPr="00325427" w:rsidRDefault="00043DE1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532D82" w:rsidRPr="00325427" w:rsidRDefault="00043DE1" w:rsidP="00CC3F3B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Проектът не се отнася за мълниезащитата на сгради, външни съоръжения и открити пространства, обект на Наредба № 4 от 2010 г., а регламентира само проверките на съпротивлението на </w:t>
            </w:r>
            <w:proofErr w:type="spellStart"/>
            <w:r w:rsidRPr="00325427">
              <w:rPr>
                <w:bCs/>
                <w:sz w:val="22"/>
                <w:szCs w:val="22"/>
              </w:rPr>
              <w:t>заземи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телните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уредби за целите на мълниезащитата и няма </w:t>
            </w:r>
            <w:proofErr w:type="spellStart"/>
            <w:r w:rsidRPr="00325427">
              <w:rPr>
                <w:bCs/>
                <w:sz w:val="22"/>
                <w:szCs w:val="22"/>
              </w:rPr>
              <w:t>огра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ничения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във връзка с </w:t>
            </w:r>
            <w:proofErr w:type="spellStart"/>
            <w:r w:rsidRPr="00325427">
              <w:rPr>
                <w:bCs/>
                <w:sz w:val="22"/>
                <w:szCs w:val="22"/>
              </w:rPr>
              <w:t>катего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риите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на мълниезащита.</w:t>
            </w:r>
          </w:p>
        </w:tc>
        <w:tc>
          <w:tcPr>
            <w:tcW w:w="1985" w:type="dxa"/>
          </w:tcPr>
          <w:p w:rsidR="00532D82" w:rsidRPr="00325427" w:rsidRDefault="00532D82" w:rsidP="00767107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164"/>
              </w:tabs>
              <w:ind w:firstLine="6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1.9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164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чл. 38, ал. 2 да се укаже лицето на което изпълнителят представя цитираните в текста документи.</w:t>
            </w:r>
          </w:p>
        </w:tc>
        <w:tc>
          <w:tcPr>
            <w:tcW w:w="3118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532D82" w:rsidRPr="00325427" w:rsidRDefault="00706875" w:rsidP="00196B8C">
            <w:pPr>
              <w:ind w:firstLine="170"/>
              <w:jc w:val="both"/>
              <w:rPr>
                <w:b/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В чл. 38, ал. 2 думата „</w:t>
            </w:r>
            <w:proofErr w:type="spellStart"/>
            <w:r w:rsidRPr="00325427">
              <w:rPr>
                <w:bCs/>
                <w:sz w:val="22"/>
                <w:szCs w:val="22"/>
              </w:rPr>
              <w:t>пред</w:t>
            </w:r>
            <w:r w:rsidR="009238D6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ставя</w:t>
            </w:r>
            <w:proofErr w:type="spellEnd"/>
            <w:r w:rsidRPr="00325427">
              <w:rPr>
                <w:bCs/>
                <w:sz w:val="22"/>
                <w:szCs w:val="22"/>
              </w:rPr>
              <w:t>“ е заменена</w:t>
            </w:r>
            <w:r w:rsidR="009238D6" w:rsidRPr="00325427">
              <w:rPr>
                <w:bCs/>
                <w:sz w:val="22"/>
                <w:szCs w:val="22"/>
              </w:rPr>
              <w:t xml:space="preserve"> с</w:t>
            </w:r>
            <w:r w:rsidRPr="00325427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325427">
              <w:rPr>
                <w:bCs/>
                <w:sz w:val="22"/>
                <w:szCs w:val="22"/>
              </w:rPr>
              <w:t>предоста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вя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“. В проекта не може да се „укаже лицето“, защото </w:t>
            </w:r>
            <w:proofErr w:type="spellStart"/>
            <w:r w:rsidRPr="00325427">
              <w:rPr>
                <w:bCs/>
                <w:sz w:val="22"/>
                <w:szCs w:val="22"/>
              </w:rPr>
              <w:t>орга</w:t>
            </w:r>
            <w:r w:rsidR="00196B8C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ните</w:t>
            </w:r>
            <w:proofErr w:type="spellEnd"/>
            <w:r w:rsidRPr="00325427">
              <w:rPr>
                <w:bCs/>
                <w:sz w:val="22"/>
                <w:szCs w:val="22"/>
              </w:rPr>
              <w:t>, които приемат са различни.</w:t>
            </w:r>
          </w:p>
        </w:tc>
        <w:tc>
          <w:tcPr>
            <w:tcW w:w="1985" w:type="dxa"/>
          </w:tcPr>
          <w:p w:rsidR="00532D82" w:rsidRPr="00325427" w:rsidRDefault="00532D82" w:rsidP="007671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41, ал. 2 и във връзка с чл. 54 на НТПНКПЕР - доколкото в процеса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експлоа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тация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осветителни уредби се изисква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измер-ването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на степента на осветеност в контролните точки и нивото на общата осветеност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осве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тителни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уредби за вътрешно осветление (чл. 381 на Наредба № 16-116 от 8 февруари 2008 г. за техническа експлоатация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енергообзавеж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дането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), следва да се включи изискването към предавателно-приемателната документация за осветителни уредби да се включи и посочване на тези контролни точки и данни за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измерва</w:t>
            </w:r>
            <w:r w:rsidR="009238D6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в тях.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lastRenderedPageBreak/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>Неправилно е намесване</w:t>
            </w:r>
            <w:r w:rsidR="00A7267C">
              <w:rPr>
                <w:sz w:val="22"/>
                <w:szCs w:val="22"/>
              </w:rPr>
              <w:t xml:space="preserve">то на Наредба № 16-116 от </w:t>
            </w:r>
            <w:r w:rsidRPr="00325427">
              <w:rPr>
                <w:sz w:val="22"/>
                <w:szCs w:val="22"/>
              </w:rPr>
              <w:t xml:space="preserve">2008 г. защото тя се отнася за </w:t>
            </w:r>
            <w:r w:rsidR="000240A3" w:rsidRPr="00325427">
              <w:rPr>
                <w:sz w:val="22"/>
                <w:szCs w:val="22"/>
              </w:rPr>
              <w:t xml:space="preserve">измервания при </w:t>
            </w:r>
            <w:r w:rsidRPr="00325427">
              <w:rPr>
                <w:sz w:val="22"/>
                <w:szCs w:val="22"/>
              </w:rPr>
              <w:t xml:space="preserve">поддържане в техническа </w:t>
            </w:r>
            <w:proofErr w:type="spellStart"/>
            <w:r w:rsidRPr="00325427">
              <w:rPr>
                <w:sz w:val="22"/>
                <w:szCs w:val="22"/>
              </w:rPr>
              <w:t>из</w:t>
            </w:r>
            <w:r w:rsidR="000240A3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правност</w:t>
            </w:r>
            <w:proofErr w:type="spellEnd"/>
            <w:r w:rsidRPr="00325427">
              <w:rPr>
                <w:sz w:val="22"/>
                <w:szCs w:val="22"/>
              </w:rPr>
              <w:t xml:space="preserve">, а не за извършване на </w:t>
            </w:r>
            <w:proofErr w:type="spellStart"/>
            <w:r w:rsidRPr="00325427">
              <w:rPr>
                <w:sz w:val="22"/>
                <w:szCs w:val="22"/>
              </w:rPr>
              <w:t>електромон</w:t>
            </w:r>
            <w:r w:rsidR="000240A3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тажни</w:t>
            </w:r>
            <w:proofErr w:type="spellEnd"/>
            <w:r w:rsidRPr="00325427">
              <w:rPr>
                <w:sz w:val="22"/>
                <w:szCs w:val="22"/>
              </w:rPr>
              <w:t xml:space="preserve"> работи.</w:t>
            </w:r>
          </w:p>
          <w:p w:rsidR="00532D82" w:rsidRPr="00325427" w:rsidRDefault="00706875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 xml:space="preserve">При отсъствието на основополагащ </w:t>
            </w:r>
            <w:proofErr w:type="spellStart"/>
            <w:r w:rsidRPr="00325427">
              <w:rPr>
                <w:sz w:val="22"/>
                <w:szCs w:val="22"/>
              </w:rPr>
              <w:t>норма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тивен</w:t>
            </w:r>
            <w:proofErr w:type="spellEnd"/>
            <w:r w:rsidRPr="00325427">
              <w:rPr>
                <w:sz w:val="22"/>
                <w:szCs w:val="22"/>
              </w:rPr>
              <w:t xml:space="preserve"> акт на национално равнище за </w:t>
            </w:r>
            <w:proofErr w:type="spellStart"/>
            <w:r w:rsidRPr="00325427">
              <w:rPr>
                <w:sz w:val="22"/>
                <w:szCs w:val="22"/>
              </w:rPr>
              <w:t>елек</w:t>
            </w:r>
            <w:r w:rsidR="009238D6" w:rsidRPr="00325427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трическо</w:t>
            </w:r>
            <w:proofErr w:type="spellEnd"/>
            <w:r w:rsidRPr="00325427">
              <w:rPr>
                <w:sz w:val="22"/>
                <w:szCs w:val="22"/>
              </w:rPr>
              <w:t xml:space="preserve"> осветление в работни и други помещения, в проекта </w:t>
            </w:r>
            <w:r w:rsidR="00A86835" w:rsidRPr="00325427">
              <w:rPr>
                <w:sz w:val="22"/>
                <w:szCs w:val="22"/>
              </w:rPr>
              <w:t xml:space="preserve">на НТПНКПЕР </w:t>
            </w:r>
            <w:r w:rsidRPr="00325427">
              <w:rPr>
                <w:sz w:val="22"/>
                <w:szCs w:val="22"/>
              </w:rPr>
              <w:t xml:space="preserve">не може да бъдат регламентирани такива детайли като точки на измерванията, най-малко в чл. 41, който е от раздел I „Общи </w:t>
            </w:r>
            <w:r w:rsidRPr="00325427">
              <w:rPr>
                <w:sz w:val="22"/>
                <w:szCs w:val="22"/>
              </w:rPr>
              <w:lastRenderedPageBreak/>
              <w:t>изисквания“ на Глава трета.</w:t>
            </w: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D5DFF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81161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56 - в контекста на приложното поле на наредбата (до и над 1000 V) да се посочат изисквания за предавателно-приемателна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доку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ментация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за електрооборудване над 1000 V,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пожароопасни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експлозивоопасни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зони, което често се среща в промишлеността.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706875" w:rsidP="00A77CBC">
            <w:pPr>
              <w:ind w:firstLine="170"/>
              <w:jc w:val="both"/>
              <w:rPr>
                <w:color w:val="000000" w:themeColor="text1"/>
                <w:sz w:val="22"/>
                <w:szCs w:val="22"/>
              </w:rPr>
            </w:pPr>
            <w:r w:rsidRPr="00325427">
              <w:rPr>
                <w:color w:val="000000" w:themeColor="text1"/>
                <w:sz w:val="22"/>
                <w:szCs w:val="22"/>
              </w:rPr>
              <w:t xml:space="preserve">На настоящия етап няма база, върху която да бъдат регламентирани изисквания за извършване на електромонтажни работи в </w:t>
            </w:r>
            <w:proofErr w:type="spellStart"/>
            <w:r w:rsidRPr="00325427">
              <w:rPr>
                <w:color w:val="000000" w:themeColor="text1"/>
                <w:sz w:val="22"/>
                <w:szCs w:val="22"/>
              </w:rPr>
              <w:t>пожароопасни</w:t>
            </w:r>
            <w:proofErr w:type="spellEnd"/>
            <w:r w:rsidRPr="0032542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325427">
              <w:rPr>
                <w:color w:val="000000" w:themeColor="text1"/>
                <w:sz w:val="22"/>
                <w:szCs w:val="22"/>
              </w:rPr>
              <w:t>експлозивоопасни</w:t>
            </w:r>
            <w:proofErr w:type="spellEnd"/>
            <w:r w:rsidRPr="00325427">
              <w:rPr>
                <w:color w:val="000000" w:themeColor="text1"/>
                <w:sz w:val="22"/>
                <w:szCs w:val="22"/>
              </w:rPr>
              <w:t xml:space="preserve"> зони при напрежения над 1000 V.</w:t>
            </w: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254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="00655D32" w:rsidRPr="003254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3254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55D32" w:rsidRPr="003254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чл. 57, ал. 1, т. 5 да се добави текст от който да става ясно как е извършено измерва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нето - с или без разединяване на естествените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заземители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Текстът на чл. 57, ал. 1, т. 5 е допълнен с израза:</w:t>
            </w:r>
          </w:p>
          <w:p w:rsidR="00532D82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„ в които е записано как е извършено измерването - със или без разединяване на естествените </w:t>
            </w:r>
            <w:proofErr w:type="spellStart"/>
            <w:r w:rsidRPr="00325427">
              <w:rPr>
                <w:bCs/>
                <w:sz w:val="22"/>
                <w:szCs w:val="22"/>
              </w:rPr>
              <w:t>заземители</w:t>
            </w:r>
            <w:proofErr w:type="spellEnd"/>
            <w:r w:rsidRPr="00325427">
              <w:rPr>
                <w:bCs/>
                <w:sz w:val="22"/>
                <w:szCs w:val="22"/>
              </w:rPr>
              <w:t>.“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77CBC">
            <w:pPr>
              <w:ind w:firstLine="17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DA73AD" w:rsidP="00A86835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3"/>
                <w:szCs w:val="23"/>
              </w:rPr>
            </w:pPr>
            <w:r w:rsidRPr="00325427">
              <w:rPr>
                <w:bCs/>
                <w:sz w:val="23"/>
                <w:szCs w:val="23"/>
              </w:rPr>
              <w:t>1</w:t>
            </w:r>
            <w:r w:rsidR="00BF7E27" w:rsidRPr="00325427">
              <w:rPr>
                <w:bCs/>
                <w:sz w:val="23"/>
                <w:szCs w:val="23"/>
              </w:rPr>
              <w:t>.13</w:t>
            </w:r>
            <w:r w:rsidRPr="0032542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81161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59, ал. 2 - да се добави текст: „..., а в случай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многофамилно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жилище - от управителното тяло на жилището".</w:t>
            </w:r>
          </w:p>
        </w:tc>
        <w:tc>
          <w:tcPr>
            <w:tcW w:w="3118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532D82" w:rsidRPr="00325427" w:rsidRDefault="00706875" w:rsidP="00047F60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Текстът на чл. 59, ал. 2 е допълнен с израза „или </w:t>
            </w:r>
            <w:proofErr w:type="spellStart"/>
            <w:r w:rsidRPr="00325427">
              <w:rPr>
                <w:bCs/>
                <w:sz w:val="22"/>
                <w:szCs w:val="22"/>
              </w:rPr>
              <w:t>упра</w:t>
            </w:r>
            <w:r w:rsidR="00047F60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вителния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съвет (управителя)</w:t>
            </w:r>
            <w:r w:rsidR="00CC3F3B">
              <w:rPr>
                <w:bCs/>
                <w:sz w:val="22"/>
                <w:szCs w:val="22"/>
              </w:rPr>
              <w:t xml:space="preserve"> на етажната собственост</w:t>
            </w:r>
            <w:r w:rsidRPr="00325427">
              <w:rPr>
                <w:bCs/>
                <w:sz w:val="22"/>
                <w:szCs w:val="22"/>
              </w:rPr>
              <w:t>“.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77CBC">
            <w:pPr>
              <w:spacing w:after="120"/>
              <w:ind w:firstLine="170"/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DA73AD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F7E27" w:rsidRPr="00325427">
              <w:rPr>
                <w:rFonts w:eastAsia="Calibri"/>
                <w:sz w:val="22"/>
                <w:szCs w:val="22"/>
                <w:lang w:eastAsia="en-US"/>
              </w:rPr>
              <w:t>.14.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чл. 71, ал. 2 - позоваването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норма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тивните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актове за метрологичен контрол в Република България е в противоречие с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изиск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ването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за периодична проверка на средствата за измерване, тъй като съгласно чл. 28 от Закона за измерванията и Наредба за средствата за измерване, които подлежат на метрологичен контрол, средствата за измерване, които се използват за да се установят параметрите на описаните в тази наредба инсталации и оборудване, не подлежат на периодичен метро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логичен контрол. Намираме за целесъобразно 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изискване за извършването на такъв контрол, но това следва да стане чрез прецизиране на текста на чл. 71 от настоящата наредбата.</w:t>
            </w:r>
          </w:p>
        </w:tc>
        <w:tc>
          <w:tcPr>
            <w:tcW w:w="3118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lastRenderedPageBreak/>
              <w:t>Приема се.</w:t>
            </w:r>
          </w:p>
          <w:p w:rsidR="00706875" w:rsidRPr="00325427" w:rsidRDefault="00047F60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706875" w:rsidRPr="00325427">
              <w:rPr>
                <w:bCs/>
                <w:sz w:val="22"/>
                <w:szCs w:val="22"/>
              </w:rPr>
              <w:t>обав</w:t>
            </w:r>
            <w:r>
              <w:rPr>
                <w:bCs/>
                <w:sz w:val="22"/>
                <w:szCs w:val="22"/>
              </w:rPr>
              <w:t>ена е</w:t>
            </w:r>
            <w:r w:rsidR="00706875" w:rsidRPr="00325427">
              <w:rPr>
                <w:bCs/>
                <w:sz w:val="22"/>
                <w:szCs w:val="22"/>
              </w:rPr>
              <w:t xml:space="preserve"> нова ал. 3 със следния текст:</w:t>
            </w:r>
          </w:p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„(3) Сроковете за периодична проверка се определят </w:t>
            </w:r>
            <w:proofErr w:type="spellStart"/>
            <w:r w:rsidRPr="00325427">
              <w:rPr>
                <w:bCs/>
                <w:sz w:val="22"/>
                <w:szCs w:val="22"/>
              </w:rPr>
              <w:t>съобраз</w:t>
            </w:r>
            <w:r w:rsidR="009F543E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но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степента на използване на съответната тестова апаратура от собственика/ползвателя, но най-малко веднъж на 10 годи</w:t>
            </w:r>
            <w:r w:rsidR="009F543E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 xml:space="preserve">ни, ако срокът за периодична проверка не е определен от производителя или в </w:t>
            </w:r>
            <w:proofErr w:type="spellStart"/>
            <w:r w:rsidRPr="00325427">
              <w:rPr>
                <w:bCs/>
                <w:sz w:val="22"/>
                <w:szCs w:val="22"/>
              </w:rPr>
              <w:t>нормати</w:t>
            </w:r>
            <w:r w:rsidR="009F543E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lastRenderedPageBreak/>
              <w:t>вен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акт.</w:t>
            </w:r>
            <w:r w:rsidR="002A7777" w:rsidRPr="00325427">
              <w:rPr>
                <w:bCs/>
                <w:sz w:val="22"/>
                <w:szCs w:val="22"/>
              </w:rPr>
              <w:t>“</w:t>
            </w:r>
          </w:p>
          <w:p w:rsidR="00532D82" w:rsidRPr="00325427" w:rsidRDefault="00E8519F" w:rsidP="00196B8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</w:t>
            </w:r>
            <w:r w:rsidR="00706875" w:rsidRPr="00325427">
              <w:rPr>
                <w:bCs/>
                <w:sz w:val="22"/>
                <w:szCs w:val="22"/>
              </w:rPr>
              <w:t xml:space="preserve">о отношение на </w:t>
            </w:r>
            <w:proofErr w:type="spellStart"/>
            <w:r w:rsidR="00706875" w:rsidRPr="00325427">
              <w:rPr>
                <w:bCs/>
                <w:sz w:val="22"/>
                <w:szCs w:val="22"/>
              </w:rPr>
              <w:t>периодич</w:t>
            </w:r>
            <w:r w:rsidR="00196B8C">
              <w:rPr>
                <w:bCs/>
                <w:sz w:val="22"/>
                <w:szCs w:val="22"/>
              </w:rPr>
              <w:t>-</w:t>
            </w:r>
            <w:r w:rsidR="00706875" w:rsidRPr="00325427">
              <w:rPr>
                <w:bCs/>
                <w:sz w:val="22"/>
                <w:szCs w:val="22"/>
              </w:rPr>
              <w:t>ните</w:t>
            </w:r>
            <w:proofErr w:type="spellEnd"/>
            <w:r w:rsidR="00706875" w:rsidRPr="00325427">
              <w:rPr>
                <w:bCs/>
                <w:sz w:val="22"/>
                <w:szCs w:val="22"/>
              </w:rPr>
              <w:t xml:space="preserve"> проверки </w:t>
            </w:r>
            <w:r w:rsidRPr="00325427">
              <w:rPr>
                <w:bCs/>
                <w:sz w:val="22"/>
                <w:szCs w:val="22"/>
              </w:rPr>
              <w:t xml:space="preserve">в приложенията </w:t>
            </w:r>
            <w:r w:rsidR="00706875" w:rsidRPr="00325427">
              <w:rPr>
                <w:bCs/>
                <w:sz w:val="22"/>
                <w:szCs w:val="22"/>
              </w:rPr>
              <w:t xml:space="preserve">е използван текста на чл. 366, ал. 2 от Правилника за </w:t>
            </w:r>
            <w:proofErr w:type="spellStart"/>
            <w:r w:rsidR="00706875" w:rsidRPr="00325427">
              <w:rPr>
                <w:bCs/>
                <w:sz w:val="22"/>
                <w:szCs w:val="22"/>
              </w:rPr>
              <w:t>безо</w:t>
            </w:r>
            <w:r w:rsidR="00196B8C">
              <w:rPr>
                <w:bCs/>
                <w:sz w:val="22"/>
                <w:szCs w:val="22"/>
              </w:rPr>
              <w:t>-</w:t>
            </w:r>
            <w:r w:rsidR="00706875" w:rsidRPr="00325427">
              <w:rPr>
                <w:bCs/>
                <w:sz w:val="22"/>
                <w:szCs w:val="22"/>
              </w:rPr>
              <w:t>пасност</w:t>
            </w:r>
            <w:proofErr w:type="spellEnd"/>
            <w:r w:rsidR="00706875" w:rsidRPr="00325427">
              <w:rPr>
                <w:bCs/>
                <w:sz w:val="22"/>
                <w:szCs w:val="22"/>
              </w:rPr>
              <w:t xml:space="preserve"> и здраве при работа по електрообзавеждането с </w:t>
            </w:r>
            <w:proofErr w:type="spellStart"/>
            <w:r w:rsidR="00706875" w:rsidRPr="00325427">
              <w:rPr>
                <w:bCs/>
                <w:sz w:val="22"/>
                <w:szCs w:val="22"/>
              </w:rPr>
              <w:t>напре</w:t>
            </w:r>
            <w:r w:rsidR="00196B8C">
              <w:rPr>
                <w:bCs/>
                <w:sz w:val="22"/>
                <w:szCs w:val="22"/>
              </w:rPr>
              <w:t>-</w:t>
            </w:r>
            <w:r w:rsidR="00706875" w:rsidRPr="00325427">
              <w:rPr>
                <w:bCs/>
                <w:sz w:val="22"/>
                <w:szCs w:val="22"/>
              </w:rPr>
              <w:t>жение</w:t>
            </w:r>
            <w:proofErr w:type="spellEnd"/>
            <w:r w:rsidR="00706875" w:rsidRPr="00325427">
              <w:rPr>
                <w:bCs/>
                <w:sz w:val="22"/>
                <w:szCs w:val="22"/>
              </w:rPr>
              <w:t xml:space="preserve"> до 1000 V.</w:t>
            </w:r>
          </w:p>
        </w:tc>
        <w:tc>
          <w:tcPr>
            <w:tcW w:w="1985" w:type="dxa"/>
          </w:tcPr>
          <w:p w:rsidR="00532D82" w:rsidRPr="00325427" w:rsidRDefault="00532D82" w:rsidP="00AF4E58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  <w:r w:rsidR="00DA73AD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Доколкото измерванията за оценка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освети</w:t>
            </w:r>
            <w:r w:rsidR="00E8519F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телните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инсталации се извършват много често, намираме за целесъобразно в приложенията да се включи и приложение/я, отнасящи се до осветителни уредби.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B1459" w:rsidP="00A77CBC">
            <w:pPr>
              <w:ind w:firstLine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отсъствието на</w:t>
            </w:r>
            <w:r w:rsidR="00706875" w:rsidRPr="00325427">
              <w:rPr>
                <w:sz w:val="22"/>
                <w:szCs w:val="22"/>
              </w:rPr>
              <w:t xml:space="preserve"> нормативен акт на национално равнище за електрическо осветление в работни и други помещения, в проекта </w:t>
            </w:r>
            <w:r w:rsidR="00A86835" w:rsidRPr="00325427">
              <w:rPr>
                <w:sz w:val="22"/>
                <w:szCs w:val="22"/>
              </w:rPr>
              <w:t xml:space="preserve">на НТПНКПЕР </w:t>
            </w:r>
            <w:r w:rsidR="00706875" w:rsidRPr="00325427">
              <w:rPr>
                <w:sz w:val="22"/>
                <w:szCs w:val="22"/>
              </w:rPr>
              <w:t>не може да бъде включено специално приложение за проверка на осветителни уредби.</w:t>
            </w: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A73AD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DA73AD"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70687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Всяко от приложенията, в които съществува текста: „Контролът за точността на резултатите от измерванията се осигурява чрез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периодич</w:t>
            </w:r>
            <w:r w:rsidR="009F543E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ната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проверка (калибриране) на тестовата апаратура" да се добави: „... в срокове опре</w:t>
            </w:r>
            <w:r w:rsidR="00CC3F3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делени от собственика/ползвателя, в случай, че нормативните актове не определят такива срокове".</w:t>
            </w:r>
          </w:p>
        </w:tc>
        <w:tc>
          <w:tcPr>
            <w:tcW w:w="3118" w:type="dxa"/>
            <w:shd w:val="clear" w:color="auto" w:fill="auto"/>
          </w:tcPr>
          <w:p w:rsidR="00706875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532D82" w:rsidRPr="00325427" w:rsidRDefault="0070687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Като се отчита направеното допълнение на чл. 71, текстът в проекта е достатъчен.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77CBC">
            <w:pPr>
              <w:ind w:firstLine="170"/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DA73AD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F7E27" w:rsidRPr="00325427">
              <w:rPr>
                <w:rFonts w:eastAsia="Calibri"/>
                <w:sz w:val="22"/>
                <w:szCs w:val="22"/>
                <w:lang w:eastAsia="en-US"/>
              </w:rPr>
              <w:t>.17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A8683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В раздел „С" от Примерна форма за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протоко</w:t>
            </w:r>
            <w:r w:rsidR="00E8519F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ла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за проверка на непрекъснатостта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електри</w:t>
            </w:r>
            <w:r w:rsidR="00E8519F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чески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проводници и техни съединения и оценка за съответствие, намираме, че текста: „Описание на помещенията" не кореспондира със обекта на измерване (много често това са линейни обекти, които трудно могат да се „привържат" към определено помещение). В същия протокол в раздел „Н" – заключение, се 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lastRenderedPageBreak/>
              <w:t>използват термините „код С1" и „код С2" без да са изяснени критериите по които се определят тези кодове (забележката се отнася за всички протоколи в които са цитирани тези кодове).</w:t>
            </w:r>
          </w:p>
        </w:tc>
        <w:tc>
          <w:tcPr>
            <w:tcW w:w="3118" w:type="dxa"/>
            <w:shd w:val="clear" w:color="auto" w:fill="auto"/>
          </w:tcPr>
          <w:p w:rsidR="00A86835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lastRenderedPageBreak/>
              <w:t>Приема се.</w:t>
            </w:r>
          </w:p>
          <w:p w:rsidR="00532D82" w:rsidRPr="00325427" w:rsidRDefault="00A86835" w:rsidP="00CC3F3B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Изразът „Описание на </w:t>
            </w:r>
            <w:proofErr w:type="spellStart"/>
            <w:r w:rsidRPr="00325427">
              <w:rPr>
                <w:bCs/>
                <w:sz w:val="22"/>
                <w:szCs w:val="22"/>
              </w:rPr>
              <w:t>поме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щенията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“ ще бъде заменен с „Описание на обектите“. </w:t>
            </w:r>
            <w:r w:rsidR="009F543E" w:rsidRPr="00325427">
              <w:rPr>
                <w:bCs/>
                <w:sz w:val="22"/>
                <w:szCs w:val="22"/>
              </w:rPr>
              <w:t>О</w:t>
            </w:r>
            <w:r w:rsidRPr="00325427">
              <w:rPr>
                <w:bCs/>
                <w:sz w:val="22"/>
                <w:szCs w:val="22"/>
              </w:rPr>
              <w:t>писание</w:t>
            </w:r>
            <w:r w:rsidR="009F543E" w:rsidRPr="00325427">
              <w:rPr>
                <w:bCs/>
                <w:sz w:val="22"/>
                <w:szCs w:val="22"/>
              </w:rPr>
              <w:t>то</w:t>
            </w:r>
            <w:r w:rsidRPr="00325427">
              <w:rPr>
                <w:bCs/>
                <w:sz w:val="22"/>
                <w:szCs w:val="22"/>
              </w:rPr>
              <w:t xml:space="preserve"> на кодовете в </w:t>
            </w:r>
            <w:proofErr w:type="spellStart"/>
            <w:r w:rsidRPr="00325427">
              <w:rPr>
                <w:bCs/>
                <w:sz w:val="22"/>
                <w:szCs w:val="22"/>
              </w:rPr>
              <w:t>раз</w:t>
            </w:r>
            <w:r w:rsidR="009F543E" w:rsidRPr="00325427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дел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„Н“ възпроизвежда това в европейския хармонизиращ документ HD 60364-6:2016 „Проверка“ и е достатъчно.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77CBC">
            <w:pPr>
              <w:tabs>
                <w:tab w:val="left" w:pos="968"/>
              </w:tabs>
              <w:ind w:firstLine="170"/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BF7E27" w:rsidP="00A86835">
            <w:pPr>
              <w:tabs>
                <w:tab w:val="left" w:pos="352"/>
              </w:tabs>
              <w:jc w:val="center"/>
              <w:rPr>
                <w:sz w:val="23"/>
                <w:szCs w:val="23"/>
              </w:rPr>
            </w:pPr>
            <w:r w:rsidRPr="00325427">
              <w:rPr>
                <w:sz w:val="23"/>
                <w:szCs w:val="23"/>
              </w:rPr>
              <w:lastRenderedPageBreak/>
              <w:t>1.18</w:t>
            </w:r>
            <w:r w:rsidR="00DA73AD" w:rsidRPr="00325427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A86835" w:rsidP="00A77CBC">
            <w:pPr>
              <w:tabs>
                <w:tab w:val="left" w:pos="352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приложение 2, в т. 5.2. да се добави изискването на чл. 367, ал. 1 от Правилника за безопасност и здраве при работа по електро-обзавеждането с напрежение до 1000 V.</w:t>
            </w:r>
          </w:p>
        </w:tc>
        <w:tc>
          <w:tcPr>
            <w:tcW w:w="3118" w:type="dxa"/>
            <w:shd w:val="clear" w:color="auto" w:fill="auto"/>
          </w:tcPr>
          <w:p w:rsidR="00A86835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A86835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След т. 5.2 е добавена нова т. 5.3 със следния текст:</w:t>
            </w:r>
          </w:p>
          <w:p w:rsidR="00532D82" w:rsidRPr="00325427" w:rsidRDefault="00A86835" w:rsidP="00CC3F3B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„5.3. Измерванията в </w:t>
            </w:r>
            <w:proofErr w:type="spellStart"/>
            <w:r w:rsidRPr="00325427">
              <w:rPr>
                <w:bCs/>
                <w:sz w:val="22"/>
                <w:szCs w:val="22"/>
              </w:rPr>
              <w:t>разпре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делителни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уредби, главни </w:t>
            </w:r>
            <w:proofErr w:type="spellStart"/>
            <w:r w:rsidRPr="00325427">
              <w:rPr>
                <w:bCs/>
                <w:sz w:val="22"/>
                <w:szCs w:val="22"/>
              </w:rPr>
              <w:t>раз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пределителни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табла и по </w:t>
            </w:r>
            <w:proofErr w:type="spellStart"/>
            <w:r w:rsidRPr="00325427">
              <w:rPr>
                <w:bCs/>
                <w:sz w:val="22"/>
                <w:szCs w:val="22"/>
              </w:rPr>
              <w:t>маги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стрални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5427">
              <w:rPr>
                <w:bCs/>
                <w:sz w:val="22"/>
                <w:szCs w:val="22"/>
              </w:rPr>
              <w:t>шинопроводи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се </w:t>
            </w:r>
            <w:proofErr w:type="spellStart"/>
            <w:r w:rsidRPr="00325427">
              <w:rPr>
                <w:bCs/>
                <w:sz w:val="22"/>
                <w:szCs w:val="22"/>
              </w:rPr>
              <w:t>из</w:t>
            </w:r>
            <w:r w:rsidR="00CC3F3B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вършват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от две лица с трета квалификационна група, без наряд.“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77CBC">
            <w:pPr>
              <w:spacing w:after="120"/>
              <w:ind w:firstLine="170"/>
              <w:jc w:val="both"/>
              <w:rPr>
                <w:sz w:val="22"/>
                <w:szCs w:val="22"/>
              </w:rPr>
            </w:pP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DA73AD" w:rsidP="00A86835">
            <w:pPr>
              <w:tabs>
                <w:tab w:val="left" w:pos="352"/>
              </w:tabs>
              <w:spacing w:after="120"/>
              <w:jc w:val="center"/>
              <w:rPr>
                <w:sz w:val="23"/>
                <w:szCs w:val="23"/>
              </w:rPr>
            </w:pPr>
            <w:r w:rsidRPr="00325427">
              <w:rPr>
                <w:sz w:val="23"/>
                <w:szCs w:val="23"/>
              </w:rPr>
              <w:t>1</w:t>
            </w:r>
            <w:r w:rsidR="00BF7E27" w:rsidRPr="00325427">
              <w:rPr>
                <w:sz w:val="23"/>
                <w:szCs w:val="23"/>
              </w:rPr>
              <w:t>.19</w:t>
            </w:r>
            <w:r w:rsidRPr="00325427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A86835" w:rsidP="00A77CBC">
            <w:pPr>
              <w:tabs>
                <w:tab w:val="left" w:pos="352"/>
              </w:tabs>
              <w:spacing w:after="120"/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Към приложение 3, в т. 5, б. „б“ е посочена като „ЕS - клема за сондата, разположена по-близко до заземяващия електрод“ без в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пример</w:t>
            </w:r>
            <w:r w:rsidR="00CC5013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ните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схеми от т. 3 да е показана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четирипро</w:t>
            </w:r>
            <w:r w:rsidR="00CC5013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водна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схема за измерване съпротивлението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заземители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, при която схема е необходима тази клема. Намираме за необходимо да се добави и такава схема на свързване към схемите в т. 3. В примерната форма на протокола в същото приложение да се предвиди възможност за посочване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корекционните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коефициенти за съпротивлението на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заземители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в защитни/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мъл</w:t>
            </w:r>
            <w:r w:rsidR="00CC5013" w:rsidRPr="0032542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ниезащитни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инсталации, както и схема на инсталацията, от която да се вижда къде точно е присъединен измервания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заземител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. Отново текста: „Описание на помещенията" не </w:t>
            </w:r>
            <w:proofErr w:type="spellStart"/>
            <w:r w:rsidRPr="00325427">
              <w:rPr>
                <w:rFonts w:eastAsia="Calibri"/>
                <w:sz w:val="22"/>
                <w:szCs w:val="22"/>
                <w:lang w:eastAsia="en-US"/>
              </w:rPr>
              <w:t>корес</w:t>
            </w:r>
            <w:r w:rsidR="00532C3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пондира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 xml:space="preserve"> със обекта на измерване.</w:t>
            </w:r>
          </w:p>
        </w:tc>
        <w:tc>
          <w:tcPr>
            <w:tcW w:w="3118" w:type="dxa"/>
            <w:shd w:val="clear" w:color="auto" w:fill="auto"/>
          </w:tcPr>
          <w:p w:rsidR="00532D82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Не се приема.</w:t>
            </w:r>
          </w:p>
        </w:tc>
        <w:tc>
          <w:tcPr>
            <w:tcW w:w="1985" w:type="dxa"/>
          </w:tcPr>
          <w:p w:rsidR="00532D82" w:rsidRPr="00325427" w:rsidRDefault="00532D82" w:rsidP="00A77CBC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A86835" w:rsidRPr="00325427" w:rsidRDefault="00A86835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 xml:space="preserve">В т. 5 са определени специфични </w:t>
            </w:r>
            <w:proofErr w:type="spellStart"/>
            <w:r w:rsidRPr="00325427">
              <w:rPr>
                <w:sz w:val="22"/>
                <w:szCs w:val="22"/>
              </w:rPr>
              <w:t>изиск</w:t>
            </w:r>
            <w:r w:rsidR="00CC3F3B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вания</w:t>
            </w:r>
            <w:proofErr w:type="spellEnd"/>
            <w:r w:rsidRPr="00325427">
              <w:rPr>
                <w:sz w:val="22"/>
                <w:szCs w:val="22"/>
              </w:rPr>
              <w:t xml:space="preserve"> към маркировката на тестовата </w:t>
            </w:r>
            <w:proofErr w:type="spellStart"/>
            <w:r w:rsidRPr="00325427">
              <w:rPr>
                <w:sz w:val="22"/>
                <w:szCs w:val="22"/>
              </w:rPr>
              <w:t>апара</w:t>
            </w:r>
            <w:r w:rsidR="00CC3F3B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тура</w:t>
            </w:r>
            <w:proofErr w:type="spellEnd"/>
            <w:r w:rsidRPr="00325427">
              <w:rPr>
                <w:sz w:val="22"/>
                <w:szCs w:val="22"/>
              </w:rPr>
              <w:t xml:space="preserve">, възпроизведени от европейски </w:t>
            </w:r>
            <w:proofErr w:type="spellStart"/>
            <w:r w:rsidRPr="00325427">
              <w:rPr>
                <w:sz w:val="22"/>
                <w:szCs w:val="22"/>
              </w:rPr>
              <w:t>стан</w:t>
            </w:r>
            <w:r w:rsidR="00CC3F3B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дарт</w:t>
            </w:r>
            <w:proofErr w:type="spellEnd"/>
            <w:r w:rsidRPr="00325427">
              <w:rPr>
                <w:sz w:val="22"/>
                <w:szCs w:val="22"/>
              </w:rPr>
              <w:t xml:space="preserve">, които не могат да бъдат определящи за схемата на свързване, </w:t>
            </w:r>
            <w:r w:rsidR="00047F60">
              <w:rPr>
                <w:sz w:val="22"/>
                <w:szCs w:val="22"/>
              </w:rPr>
              <w:t>нито</w:t>
            </w:r>
            <w:r w:rsidRPr="00325427">
              <w:rPr>
                <w:sz w:val="22"/>
                <w:szCs w:val="22"/>
              </w:rPr>
              <w:t xml:space="preserve"> да бъдат </w:t>
            </w:r>
            <w:proofErr w:type="spellStart"/>
            <w:r w:rsidRPr="00325427">
              <w:rPr>
                <w:sz w:val="22"/>
                <w:szCs w:val="22"/>
              </w:rPr>
              <w:t>осно</w:t>
            </w:r>
            <w:r w:rsidR="00047F60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вание</w:t>
            </w:r>
            <w:proofErr w:type="spellEnd"/>
            <w:r w:rsidRPr="00325427">
              <w:rPr>
                <w:sz w:val="22"/>
                <w:szCs w:val="22"/>
              </w:rPr>
              <w:t xml:space="preserve"> за допълване на проекта с нова схема извън схемите в европейския хармонизиращ документ HD 60364-6:2016.</w:t>
            </w:r>
          </w:p>
          <w:p w:rsidR="00A86835" w:rsidRPr="00325427" w:rsidRDefault="00A86835" w:rsidP="00A77CB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 xml:space="preserve">Относно </w:t>
            </w:r>
            <w:proofErr w:type="spellStart"/>
            <w:r w:rsidRPr="00325427">
              <w:rPr>
                <w:sz w:val="22"/>
                <w:szCs w:val="22"/>
              </w:rPr>
              <w:t>корекционните</w:t>
            </w:r>
            <w:proofErr w:type="spellEnd"/>
            <w:r w:rsidRPr="00325427">
              <w:rPr>
                <w:sz w:val="22"/>
                <w:szCs w:val="22"/>
              </w:rPr>
              <w:t xml:space="preserve"> коефициенти, съобразно конкретния случай, може да се добавят или премахват елементи от при</w:t>
            </w:r>
            <w:r w:rsidR="00CC3F3B">
              <w:rPr>
                <w:sz w:val="22"/>
                <w:szCs w:val="22"/>
              </w:rPr>
              <w:t>-</w:t>
            </w:r>
            <w:r w:rsidRPr="00325427">
              <w:rPr>
                <w:sz w:val="22"/>
                <w:szCs w:val="22"/>
              </w:rPr>
              <w:t>мерната форма, както е записано най-горе на формата.</w:t>
            </w:r>
          </w:p>
          <w:p w:rsidR="00532D82" w:rsidRPr="00325427" w:rsidRDefault="00A86835" w:rsidP="00196B8C">
            <w:pPr>
              <w:ind w:firstLine="170"/>
              <w:jc w:val="both"/>
              <w:rPr>
                <w:sz w:val="22"/>
                <w:szCs w:val="22"/>
              </w:rPr>
            </w:pPr>
            <w:r w:rsidRPr="00325427">
              <w:rPr>
                <w:sz w:val="22"/>
                <w:szCs w:val="22"/>
              </w:rPr>
              <w:t>Текстът „Описание на помещенията“ е заменен с „Описание на обектите“.</w:t>
            </w:r>
          </w:p>
        </w:tc>
      </w:tr>
      <w:tr w:rsidR="00532D82" w:rsidRPr="00325427" w:rsidTr="00A86835">
        <w:tc>
          <w:tcPr>
            <w:tcW w:w="709" w:type="dxa"/>
          </w:tcPr>
          <w:p w:rsidR="00532D82" w:rsidRPr="00325427" w:rsidRDefault="00DA73AD" w:rsidP="00A86835">
            <w:pPr>
              <w:tabs>
                <w:tab w:val="left" w:pos="352"/>
              </w:tabs>
              <w:jc w:val="center"/>
              <w:rPr>
                <w:sz w:val="23"/>
                <w:szCs w:val="23"/>
              </w:rPr>
            </w:pPr>
            <w:r w:rsidRPr="00325427">
              <w:rPr>
                <w:sz w:val="23"/>
                <w:szCs w:val="23"/>
              </w:rPr>
              <w:lastRenderedPageBreak/>
              <w:t>1</w:t>
            </w:r>
            <w:r w:rsidR="00BF7E27" w:rsidRPr="00325427">
              <w:rPr>
                <w:sz w:val="23"/>
                <w:szCs w:val="23"/>
              </w:rPr>
              <w:t>.20</w:t>
            </w:r>
            <w:r w:rsidRPr="00325427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2D82" w:rsidRPr="00325427" w:rsidRDefault="00A86835" w:rsidP="00A77CBC">
            <w:pPr>
              <w:tabs>
                <w:tab w:val="left" w:pos="352"/>
              </w:tabs>
              <w:ind w:left="23"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5427">
              <w:rPr>
                <w:rFonts w:eastAsia="Calibri"/>
                <w:sz w:val="22"/>
                <w:szCs w:val="22"/>
                <w:lang w:eastAsia="en-US"/>
              </w:rPr>
              <w:t>Към приложение 4, т. 6.2., към текста да се добави изискването на чл. 375, ал. 1, т. 1 от Правилника за безопасност и здраве при работа по електрообзавеждането с напрежение до</w:t>
            </w:r>
            <w:r w:rsidR="00CC5013" w:rsidRPr="0032542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1000 V.</w:t>
            </w:r>
          </w:p>
        </w:tc>
        <w:tc>
          <w:tcPr>
            <w:tcW w:w="3118" w:type="dxa"/>
            <w:shd w:val="clear" w:color="auto" w:fill="auto"/>
          </w:tcPr>
          <w:p w:rsidR="00A86835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Приема се.</w:t>
            </w:r>
          </w:p>
          <w:p w:rsidR="00A86835" w:rsidRPr="00325427" w:rsidRDefault="00A86835" w:rsidP="00A77CBC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>След т. 6.2 е добав</w:t>
            </w:r>
            <w:r w:rsidR="00196B8C">
              <w:rPr>
                <w:bCs/>
                <w:sz w:val="22"/>
                <w:szCs w:val="22"/>
              </w:rPr>
              <w:t>ена</w:t>
            </w:r>
            <w:r w:rsidRPr="00325427">
              <w:rPr>
                <w:bCs/>
                <w:sz w:val="22"/>
                <w:szCs w:val="22"/>
              </w:rPr>
              <w:t xml:space="preserve"> нова т. 6.3 със следния текст:</w:t>
            </w:r>
          </w:p>
          <w:p w:rsidR="00532D82" w:rsidRPr="00325427" w:rsidRDefault="00A86835" w:rsidP="00532C3E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325427">
              <w:rPr>
                <w:bCs/>
                <w:sz w:val="22"/>
                <w:szCs w:val="22"/>
              </w:rPr>
              <w:t xml:space="preserve">„6.3. Измерванията в </w:t>
            </w:r>
            <w:proofErr w:type="spellStart"/>
            <w:r w:rsidRPr="00325427">
              <w:rPr>
                <w:bCs/>
                <w:sz w:val="22"/>
                <w:szCs w:val="22"/>
              </w:rPr>
              <w:t>разпре</w:t>
            </w:r>
            <w:r w:rsidR="00532C3E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делителни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уредби, при </w:t>
            </w:r>
            <w:proofErr w:type="spellStart"/>
            <w:r w:rsidRPr="00325427">
              <w:rPr>
                <w:bCs/>
                <w:sz w:val="22"/>
                <w:szCs w:val="22"/>
              </w:rPr>
              <w:t>отва</w:t>
            </w:r>
            <w:r w:rsidR="00532C3E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ряне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325427">
              <w:rPr>
                <w:bCs/>
                <w:sz w:val="22"/>
                <w:szCs w:val="22"/>
              </w:rPr>
              <w:t>клемни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кутии и когато се извършват на височина, се провеждат от две лица, </w:t>
            </w:r>
            <w:proofErr w:type="spellStart"/>
            <w:r w:rsidRPr="00325427">
              <w:rPr>
                <w:bCs/>
                <w:sz w:val="22"/>
                <w:szCs w:val="22"/>
              </w:rPr>
              <w:t>прите</w:t>
            </w:r>
            <w:r w:rsidR="00532C3E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жаващи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най-малко трета квалификационна група по Правилника за безопасност и здраве при работа по електро</w:t>
            </w:r>
            <w:r w:rsidR="00532C3E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обзавеждането с напрежение до 1000 V или по Правилника за безопасност и здраве при работа в електрически</w:t>
            </w:r>
            <w:r w:rsidR="00CC5013" w:rsidRPr="00325427">
              <w:rPr>
                <w:bCs/>
                <w:sz w:val="22"/>
                <w:szCs w:val="22"/>
              </w:rPr>
              <w:t xml:space="preserve"> уредби на електрически и </w:t>
            </w:r>
            <w:proofErr w:type="spellStart"/>
            <w:r w:rsidR="00CC5013" w:rsidRPr="00325427">
              <w:rPr>
                <w:bCs/>
                <w:sz w:val="22"/>
                <w:szCs w:val="22"/>
              </w:rPr>
              <w:t>топло</w:t>
            </w:r>
            <w:r w:rsidRPr="00325427">
              <w:rPr>
                <w:bCs/>
                <w:sz w:val="22"/>
                <w:szCs w:val="22"/>
              </w:rPr>
              <w:t>фика</w:t>
            </w:r>
            <w:r w:rsidR="00532C3E">
              <w:rPr>
                <w:bCs/>
                <w:sz w:val="22"/>
                <w:szCs w:val="22"/>
              </w:rPr>
              <w:t>-</w:t>
            </w:r>
            <w:r w:rsidRPr="00325427">
              <w:rPr>
                <w:bCs/>
                <w:sz w:val="22"/>
                <w:szCs w:val="22"/>
              </w:rPr>
              <w:t>ционни</w:t>
            </w:r>
            <w:proofErr w:type="spellEnd"/>
            <w:r w:rsidRPr="00325427">
              <w:rPr>
                <w:bCs/>
                <w:sz w:val="22"/>
                <w:szCs w:val="22"/>
              </w:rPr>
              <w:t xml:space="preserve"> централи и по електрически мрежи.“</w:t>
            </w:r>
          </w:p>
        </w:tc>
        <w:tc>
          <w:tcPr>
            <w:tcW w:w="1985" w:type="dxa"/>
          </w:tcPr>
          <w:p w:rsidR="00532D82" w:rsidRPr="00325427" w:rsidRDefault="00532D82" w:rsidP="00842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532D82" w:rsidRPr="00325427" w:rsidRDefault="00532D82" w:rsidP="00A86835">
            <w:pPr>
              <w:jc w:val="both"/>
              <w:rPr>
                <w:sz w:val="22"/>
                <w:szCs w:val="22"/>
              </w:rPr>
            </w:pPr>
          </w:p>
        </w:tc>
      </w:tr>
    </w:tbl>
    <w:p w:rsidR="00532C3E" w:rsidRDefault="00532C3E"/>
    <w:p w:rsidR="00532C3E" w:rsidRDefault="00532C3E">
      <w:pPr>
        <w:spacing w:after="200" w:line="276" w:lineRule="auto"/>
      </w:pPr>
      <w:r>
        <w:br w:type="page"/>
      </w:r>
    </w:p>
    <w:tbl>
      <w:tblPr>
        <w:tblW w:w="14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1985"/>
        <w:gridCol w:w="4435"/>
      </w:tblGrid>
      <w:tr w:rsidR="00532C3E" w:rsidRPr="00325427" w:rsidTr="00B125A1">
        <w:trPr>
          <w:trHeight w:val="627"/>
          <w:tblHeader/>
        </w:trPr>
        <w:tc>
          <w:tcPr>
            <w:tcW w:w="709" w:type="dxa"/>
            <w:shd w:val="clear" w:color="auto" w:fill="C6D9F1"/>
          </w:tcPr>
          <w:p w:rsidR="00532C3E" w:rsidRPr="00325427" w:rsidRDefault="00532C3E" w:rsidP="00B125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C6D9F1"/>
            <w:vAlign w:val="center"/>
          </w:tcPr>
          <w:p w:rsidR="00532C3E" w:rsidRPr="00325427" w:rsidRDefault="00532C3E" w:rsidP="00B125A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Постъпило предложение / Коментар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532C3E" w:rsidRPr="00325427" w:rsidRDefault="00532C3E" w:rsidP="00B125A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Приема се /</w:t>
            </w:r>
          </w:p>
          <w:p w:rsidR="00532C3E" w:rsidRPr="00325427" w:rsidRDefault="00532C3E" w:rsidP="00B125A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Не се приема</w:t>
            </w:r>
          </w:p>
        </w:tc>
        <w:tc>
          <w:tcPr>
            <w:tcW w:w="1985" w:type="dxa"/>
            <w:shd w:val="clear" w:color="auto" w:fill="C6D9F1"/>
          </w:tcPr>
          <w:p w:rsidR="00532C3E" w:rsidRPr="00325427" w:rsidRDefault="00532C3E" w:rsidP="00B125A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4435" w:type="dxa"/>
            <w:shd w:val="clear" w:color="auto" w:fill="C6D9F1"/>
            <w:vAlign w:val="center"/>
          </w:tcPr>
          <w:p w:rsidR="00532C3E" w:rsidRPr="00325427" w:rsidRDefault="00532C3E" w:rsidP="00B125A1">
            <w:pPr>
              <w:jc w:val="both"/>
              <w:rPr>
                <w:b/>
                <w:bCs/>
                <w:sz w:val="22"/>
                <w:szCs w:val="22"/>
              </w:rPr>
            </w:pPr>
            <w:r w:rsidRPr="00325427">
              <w:rPr>
                <w:b/>
                <w:bCs/>
                <w:sz w:val="22"/>
                <w:szCs w:val="22"/>
              </w:rPr>
              <w:t>Обосновка за неприетите предложения</w:t>
            </w:r>
          </w:p>
        </w:tc>
      </w:tr>
      <w:tr w:rsidR="00532C3E" w:rsidRPr="00325427" w:rsidTr="00B125A1">
        <w:trPr>
          <w:tblHeader/>
        </w:trPr>
        <w:tc>
          <w:tcPr>
            <w:tcW w:w="709" w:type="dxa"/>
          </w:tcPr>
          <w:p w:rsidR="00532C3E" w:rsidRPr="00325427" w:rsidRDefault="00532C3E" w:rsidP="00B125A1">
            <w:pPr>
              <w:tabs>
                <w:tab w:val="left" w:pos="448"/>
              </w:tabs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542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32C3E" w:rsidRPr="00325427" w:rsidRDefault="00532C3E" w:rsidP="00B125A1">
            <w:pPr>
              <w:tabs>
                <w:tab w:val="left" w:pos="448"/>
              </w:tabs>
              <w:ind w:left="36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5427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2C3E" w:rsidRPr="00325427" w:rsidRDefault="00532C3E" w:rsidP="00B125A1">
            <w:pPr>
              <w:jc w:val="center"/>
              <w:rPr>
                <w:bCs/>
                <w:i/>
                <w:sz w:val="18"/>
                <w:szCs w:val="18"/>
              </w:rPr>
            </w:pPr>
            <w:r w:rsidRPr="00325427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32C3E" w:rsidRPr="00325427" w:rsidRDefault="00532C3E" w:rsidP="00B125A1">
            <w:pPr>
              <w:jc w:val="center"/>
              <w:rPr>
                <w:i/>
                <w:sz w:val="18"/>
                <w:szCs w:val="18"/>
              </w:rPr>
            </w:pPr>
            <w:r w:rsidRPr="0032542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532C3E" w:rsidRPr="00325427" w:rsidRDefault="00532C3E" w:rsidP="00B125A1">
            <w:pPr>
              <w:jc w:val="center"/>
              <w:rPr>
                <w:i/>
                <w:sz w:val="18"/>
                <w:szCs w:val="18"/>
              </w:rPr>
            </w:pPr>
            <w:r w:rsidRPr="00325427">
              <w:rPr>
                <w:i/>
                <w:sz w:val="18"/>
                <w:szCs w:val="18"/>
              </w:rPr>
              <w:t>5</w:t>
            </w:r>
          </w:p>
        </w:tc>
      </w:tr>
      <w:tr w:rsidR="00931B49" w:rsidRPr="00325427" w:rsidTr="00A86835">
        <w:trPr>
          <w:trHeight w:val="56"/>
        </w:trPr>
        <w:tc>
          <w:tcPr>
            <w:tcW w:w="709" w:type="dxa"/>
            <w:shd w:val="clear" w:color="auto" w:fill="FBD4B4" w:themeFill="accent6" w:themeFillTint="66"/>
          </w:tcPr>
          <w:p w:rsidR="00931B49" w:rsidRPr="00AE1A5B" w:rsidRDefault="009A2C08" w:rsidP="00AE1A5B">
            <w:pPr>
              <w:jc w:val="center"/>
              <w:rPr>
                <w:b/>
                <w:i/>
                <w:sz w:val="22"/>
                <w:szCs w:val="22"/>
              </w:rPr>
            </w:pPr>
            <w:r w:rsidRPr="00AE1A5B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216" w:type="dxa"/>
            <w:gridSpan w:val="4"/>
            <w:shd w:val="clear" w:color="auto" w:fill="FBD4B4" w:themeFill="accent6" w:themeFillTint="66"/>
          </w:tcPr>
          <w:p w:rsidR="00D81161" w:rsidRPr="00325427" w:rsidRDefault="009A2C08" w:rsidP="00452B68">
            <w:pPr>
              <w:jc w:val="center"/>
              <w:rPr>
                <w:b/>
                <w:i/>
                <w:sz w:val="22"/>
                <w:szCs w:val="22"/>
              </w:rPr>
            </w:pPr>
            <w:r w:rsidRPr="00AE1A5B">
              <w:rPr>
                <w:b/>
                <w:i/>
                <w:sz w:val="22"/>
                <w:szCs w:val="22"/>
              </w:rPr>
              <w:t>Предложения, направени от</w:t>
            </w:r>
            <w:r w:rsidR="00BF7E27" w:rsidRPr="00AE1A5B">
              <w:rPr>
                <w:b/>
                <w:i/>
                <w:sz w:val="22"/>
                <w:szCs w:val="22"/>
              </w:rPr>
              <w:t xml:space="preserve"> </w:t>
            </w:r>
            <w:r w:rsidRPr="00AE1A5B">
              <w:rPr>
                <w:b/>
                <w:i/>
                <w:sz w:val="22"/>
                <w:szCs w:val="22"/>
              </w:rPr>
              <w:t>Министерството на енергетиката“, представени с писмо с вх. № 03-02-46/7/02.</w:t>
            </w:r>
            <w:proofErr w:type="spellStart"/>
            <w:r w:rsidRPr="00AE1A5B">
              <w:rPr>
                <w:b/>
                <w:i/>
                <w:sz w:val="22"/>
                <w:szCs w:val="22"/>
              </w:rPr>
              <w:t>02</w:t>
            </w:r>
            <w:proofErr w:type="spellEnd"/>
            <w:r w:rsidRPr="00AE1A5B">
              <w:rPr>
                <w:b/>
                <w:i/>
                <w:sz w:val="22"/>
                <w:szCs w:val="22"/>
              </w:rPr>
              <w:t xml:space="preserve">.2018 </w:t>
            </w:r>
            <w:r w:rsidR="00532C3E" w:rsidRPr="00AE1A5B">
              <w:rPr>
                <w:b/>
                <w:i/>
                <w:sz w:val="22"/>
                <w:szCs w:val="22"/>
              </w:rPr>
              <w:t>г.</w:t>
            </w:r>
          </w:p>
        </w:tc>
      </w:tr>
      <w:tr w:rsidR="009A2C08" w:rsidRPr="00325427" w:rsidTr="002B3791">
        <w:trPr>
          <w:trHeight w:val="56"/>
        </w:trPr>
        <w:tc>
          <w:tcPr>
            <w:tcW w:w="709" w:type="dxa"/>
          </w:tcPr>
          <w:p w:rsidR="009A2C08" w:rsidRPr="009A2C08" w:rsidRDefault="009A2C08" w:rsidP="009A2C0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A2C0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9A2C08" w:rsidRPr="009A2C08" w:rsidRDefault="009A2C08" w:rsidP="00532C3E">
            <w:pPr>
              <w:ind w:firstLine="170"/>
              <w:jc w:val="both"/>
              <w:rPr>
                <w:color w:val="000000" w:themeColor="text1"/>
                <w:sz w:val="22"/>
                <w:szCs w:val="22"/>
              </w:rPr>
            </w:pPr>
            <w:r w:rsidRPr="009A2C08">
              <w:rPr>
                <w:color w:val="000000" w:themeColor="text1"/>
                <w:sz w:val="22"/>
                <w:szCs w:val="22"/>
              </w:rPr>
              <w:t>От формулировките на ал. 1 и ал. 2 на чл. 2 не става ясно коя е приложимата нормативна уредба по отношение на електрическите уредби и електропроводи за напрежение до и над 1000 V в места с повишена пожарна опасност и/или с експлозивна опасност - дали това е Наредбата за технически правила и нормативи за контрол и приемане на електромонтажните работи или Наредбата за строително-технически правила и норми за осигуряване на безопасност при пожар, или и двете наредби. Текстът на чл. 2, ал. 2 е подходящо да се прецизира в частта „наредбата по ал. 1", доколкото в ал. 1 е налице посочване на две наредби.</w:t>
            </w:r>
          </w:p>
          <w:p w:rsidR="009A2C08" w:rsidRPr="009A2C08" w:rsidRDefault="009A2C08" w:rsidP="00532C3E">
            <w:pPr>
              <w:ind w:firstLine="170"/>
              <w:jc w:val="both"/>
              <w:rPr>
                <w:color w:val="000000" w:themeColor="text1"/>
                <w:sz w:val="22"/>
                <w:szCs w:val="22"/>
              </w:rPr>
            </w:pPr>
            <w:r w:rsidRPr="009A2C08">
              <w:rPr>
                <w:color w:val="000000" w:themeColor="text1"/>
                <w:sz w:val="22"/>
                <w:szCs w:val="22"/>
              </w:rPr>
              <w:t>В случай, че за електрическите уредби и електропроводи за напрежение до и над 1000 V в места с повишена пожарна опасност и/или с експлозивна опасност са приложими и двете наредби в същата алинея преди думите „специфични изисквания" следва да се добави „и". Аргумент за приложимост на Наредбата за технически правила и нормативи за контрол и приемане на електромонтажните работи за електрически уредби и електропроводи за напрежение до 1000 V в места с повишена пожарна опасност и/или с експлозивна опасност, е налице в чл. 56 от проекта.</w:t>
            </w:r>
          </w:p>
        </w:tc>
        <w:tc>
          <w:tcPr>
            <w:tcW w:w="3118" w:type="dxa"/>
            <w:shd w:val="clear" w:color="auto" w:fill="auto"/>
          </w:tcPr>
          <w:p w:rsidR="00CC3F3B" w:rsidRDefault="00CC3F3B" w:rsidP="00532C3E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Приема се.</w:t>
            </w:r>
          </w:p>
          <w:p w:rsidR="00532C3E" w:rsidRPr="00325427" w:rsidRDefault="00532C3E" w:rsidP="00532C3E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532C3E">
              <w:rPr>
                <w:bCs/>
                <w:sz w:val="22"/>
                <w:szCs w:val="22"/>
              </w:rPr>
              <w:t xml:space="preserve">Текстът на чл. 2 на проекта на НТПНКПЕР е </w:t>
            </w:r>
            <w:proofErr w:type="spellStart"/>
            <w:r w:rsidRPr="00532C3E">
              <w:rPr>
                <w:bCs/>
                <w:sz w:val="22"/>
                <w:szCs w:val="22"/>
              </w:rPr>
              <w:t>прередакти-ран</w:t>
            </w:r>
            <w:proofErr w:type="spellEnd"/>
            <w:r w:rsidRPr="00532C3E">
              <w:rPr>
                <w:bCs/>
                <w:sz w:val="22"/>
                <w:szCs w:val="22"/>
              </w:rPr>
              <w:t xml:space="preserve"> съобразно предложението.</w:t>
            </w:r>
          </w:p>
        </w:tc>
        <w:tc>
          <w:tcPr>
            <w:tcW w:w="1985" w:type="dxa"/>
          </w:tcPr>
          <w:p w:rsidR="009A2C08" w:rsidRPr="00325427" w:rsidRDefault="009A2C08" w:rsidP="006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9A2C08" w:rsidRPr="00325427" w:rsidRDefault="009A2C08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9A2C08" w:rsidRPr="00325427" w:rsidTr="002B3791">
        <w:trPr>
          <w:trHeight w:val="56"/>
        </w:trPr>
        <w:tc>
          <w:tcPr>
            <w:tcW w:w="709" w:type="dxa"/>
          </w:tcPr>
          <w:p w:rsidR="009A2C08" w:rsidRPr="00325427" w:rsidRDefault="009A2C08" w:rsidP="009A2C08">
            <w:pPr>
              <w:tabs>
                <w:tab w:val="left" w:pos="44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spellEnd"/>
            <w:r w:rsidRPr="0032542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2C08" w:rsidRPr="00325427" w:rsidRDefault="009A2C08" w:rsidP="00452B68">
            <w:pPr>
              <w:tabs>
                <w:tab w:val="left" w:pos="448"/>
              </w:tabs>
              <w:ind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2C08">
              <w:rPr>
                <w:rFonts w:eastAsia="Calibri"/>
                <w:sz w:val="22"/>
                <w:szCs w:val="22"/>
                <w:lang w:eastAsia="en-US"/>
              </w:rPr>
              <w:t xml:space="preserve">В текста на чл. 6, ал. 3 от проекта на </w:t>
            </w:r>
            <w:proofErr w:type="spellStart"/>
            <w:r w:rsidRPr="009A2C08">
              <w:rPr>
                <w:rFonts w:eastAsia="Calibri"/>
                <w:sz w:val="22"/>
                <w:szCs w:val="22"/>
                <w:lang w:eastAsia="en-US"/>
              </w:rPr>
              <w:t>наред</w:t>
            </w:r>
            <w:r w:rsidR="00452B6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A2C08">
              <w:rPr>
                <w:rFonts w:eastAsia="Calibri"/>
                <w:sz w:val="22"/>
                <w:szCs w:val="22"/>
                <w:lang w:eastAsia="en-US"/>
              </w:rPr>
              <w:t>бата</w:t>
            </w:r>
            <w:proofErr w:type="spellEnd"/>
            <w:r w:rsidRPr="009A2C08">
              <w:rPr>
                <w:rFonts w:eastAsia="Calibri"/>
                <w:sz w:val="22"/>
                <w:szCs w:val="22"/>
                <w:lang w:eastAsia="en-US"/>
              </w:rPr>
              <w:t xml:space="preserve"> по неясен начин е предвидено извършване на определени действия преди започване на </w:t>
            </w:r>
            <w:r w:rsidRPr="009A2C08">
              <w:rPr>
                <w:rFonts w:eastAsia="Calibri"/>
                <w:sz w:val="22"/>
                <w:szCs w:val="22"/>
                <w:lang w:eastAsia="en-US"/>
              </w:rPr>
              <w:lastRenderedPageBreak/>
              <w:t>електромонтажните работи. От формулировка</w:t>
            </w:r>
            <w:r w:rsidR="002B379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A2C08">
              <w:rPr>
                <w:rFonts w:eastAsia="Calibri"/>
                <w:sz w:val="22"/>
                <w:szCs w:val="22"/>
                <w:lang w:eastAsia="en-US"/>
              </w:rPr>
              <w:t xml:space="preserve">та не може да бъде установено кой е адресатът на информацията, нейният обхват и начинът на осигуряването й. Неясно е и с какво следва да се съгласят посочените в разпоредбата субекти и доколко съгласието на възложителя, или собственика, или ползвателя може да се счита за равностойно. Въпросът за равностойност на съгласието е </w:t>
            </w:r>
            <w:proofErr w:type="spellStart"/>
            <w:r w:rsidRPr="009A2C08">
              <w:rPr>
                <w:rFonts w:eastAsia="Calibri"/>
                <w:sz w:val="22"/>
                <w:szCs w:val="22"/>
                <w:lang w:eastAsia="en-US"/>
              </w:rPr>
              <w:t>относим</w:t>
            </w:r>
            <w:proofErr w:type="spellEnd"/>
            <w:r w:rsidRPr="009A2C08">
              <w:rPr>
                <w:rFonts w:eastAsia="Calibri"/>
                <w:sz w:val="22"/>
                <w:szCs w:val="22"/>
                <w:lang w:eastAsia="en-US"/>
              </w:rPr>
              <w:t xml:space="preserve"> и за предвиденото в чл. 59, ал. 2, чл. 60, ал. 2 и чл. 61, т. 2 от проекта.</w:t>
            </w:r>
          </w:p>
        </w:tc>
        <w:tc>
          <w:tcPr>
            <w:tcW w:w="3118" w:type="dxa"/>
            <w:shd w:val="clear" w:color="auto" w:fill="auto"/>
          </w:tcPr>
          <w:p w:rsidR="009A2C08" w:rsidRDefault="00B60A93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Приема се.</w:t>
            </w:r>
          </w:p>
          <w:p w:rsidR="009D3C28" w:rsidRDefault="009D3C2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9D3C28">
              <w:rPr>
                <w:bCs/>
                <w:sz w:val="22"/>
                <w:szCs w:val="22"/>
              </w:rPr>
              <w:t>Текстът на чл. 6, ал. 3 въз</w:t>
            </w:r>
            <w:r w:rsidR="00452B68">
              <w:rPr>
                <w:bCs/>
                <w:sz w:val="22"/>
                <w:szCs w:val="22"/>
              </w:rPr>
              <w:t>-</w:t>
            </w:r>
            <w:r w:rsidRPr="009D3C28">
              <w:rPr>
                <w:bCs/>
                <w:sz w:val="22"/>
                <w:szCs w:val="22"/>
              </w:rPr>
              <w:t xml:space="preserve">произвежда принципно </w:t>
            </w:r>
            <w:proofErr w:type="spellStart"/>
            <w:r w:rsidRPr="009D3C28">
              <w:rPr>
                <w:bCs/>
                <w:sz w:val="22"/>
                <w:szCs w:val="22"/>
              </w:rPr>
              <w:t>изиск</w:t>
            </w:r>
            <w:r w:rsidR="00452B68">
              <w:rPr>
                <w:bCs/>
                <w:sz w:val="22"/>
                <w:szCs w:val="22"/>
              </w:rPr>
              <w:t>-</w:t>
            </w:r>
            <w:r w:rsidRPr="009D3C28">
              <w:rPr>
                <w:bCs/>
                <w:sz w:val="22"/>
                <w:szCs w:val="22"/>
              </w:rPr>
              <w:lastRenderedPageBreak/>
              <w:t>ване</w:t>
            </w:r>
            <w:proofErr w:type="spellEnd"/>
            <w:r w:rsidRPr="009D3C28">
              <w:rPr>
                <w:bCs/>
                <w:sz w:val="22"/>
                <w:szCs w:val="22"/>
              </w:rPr>
              <w:t xml:space="preserve"> от европейския </w:t>
            </w:r>
            <w:proofErr w:type="spellStart"/>
            <w:r w:rsidRPr="009D3C28">
              <w:rPr>
                <w:bCs/>
                <w:sz w:val="22"/>
                <w:szCs w:val="22"/>
              </w:rPr>
              <w:t>хармони</w:t>
            </w:r>
            <w:r w:rsidR="00452B68">
              <w:rPr>
                <w:bCs/>
                <w:sz w:val="22"/>
                <w:szCs w:val="22"/>
              </w:rPr>
              <w:t>-</w:t>
            </w:r>
            <w:r w:rsidRPr="009D3C28">
              <w:rPr>
                <w:bCs/>
                <w:sz w:val="22"/>
                <w:szCs w:val="22"/>
              </w:rPr>
              <w:t>зиращ</w:t>
            </w:r>
            <w:proofErr w:type="spellEnd"/>
            <w:r w:rsidRPr="009D3C28">
              <w:rPr>
                <w:bCs/>
                <w:sz w:val="22"/>
                <w:szCs w:val="22"/>
              </w:rPr>
              <w:t xml:space="preserve"> документ HD 60364-6:2016 и е новост за практиката у нас.</w:t>
            </w:r>
          </w:p>
          <w:p w:rsidR="00B60A93" w:rsidRDefault="009D3C2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 w:rsidRPr="009D3C28">
              <w:rPr>
                <w:bCs/>
                <w:sz w:val="22"/>
                <w:szCs w:val="22"/>
              </w:rPr>
              <w:t>Затова, като изключение, в чл. 60, ал. 1 и ал. 2 са дадени поясняващи примери.</w:t>
            </w:r>
          </w:p>
          <w:p w:rsidR="009D3C28" w:rsidRPr="00325427" w:rsidRDefault="009D3C2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Текстовете на чл. 59, ал. 2, чл. 60, ал. 2 и чл. 61, т.</w:t>
            </w:r>
            <w:r w:rsidR="00452B6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 са допълнени.</w:t>
            </w:r>
          </w:p>
        </w:tc>
        <w:tc>
          <w:tcPr>
            <w:tcW w:w="1985" w:type="dxa"/>
          </w:tcPr>
          <w:p w:rsidR="009A2C08" w:rsidRPr="00325427" w:rsidRDefault="009A2C08" w:rsidP="00B12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B60A93" w:rsidRPr="009E446F" w:rsidRDefault="00B60A93" w:rsidP="009D3C28">
            <w:pPr>
              <w:jc w:val="both"/>
              <w:rPr>
                <w:sz w:val="22"/>
                <w:szCs w:val="22"/>
              </w:rPr>
            </w:pPr>
          </w:p>
        </w:tc>
      </w:tr>
      <w:tr w:rsidR="009A2C08" w:rsidRPr="00325427" w:rsidTr="002B3791">
        <w:trPr>
          <w:trHeight w:val="56"/>
        </w:trPr>
        <w:tc>
          <w:tcPr>
            <w:tcW w:w="709" w:type="dxa"/>
          </w:tcPr>
          <w:p w:rsidR="009A2C08" w:rsidRPr="00325427" w:rsidRDefault="009A2C08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4678" w:type="dxa"/>
            <w:shd w:val="clear" w:color="auto" w:fill="auto"/>
          </w:tcPr>
          <w:p w:rsidR="009A2C08" w:rsidRPr="00325427" w:rsidRDefault="002B3791" w:rsidP="00452B68">
            <w:pPr>
              <w:tabs>
                <w:tab w:val="left" w:pos="352"/>
              </w:tabs>
              <w:ind w:left="23"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791">
              <w:rPr>
                <w:rFonts w:eastAsia="Calibri"/>
                <w:sz w:val="22"/>
                <w:szCs w:val="22"/>
                <w:lang w:eastAsia="en-US"/>
              </w:rPr>
              <w:t>Считаме, че определението на понятието „изпълнител на електромонтажни работи" е неточно, тъй като смисълът на използване на думата „организация" е неясен. Освен това с определението се създава ограничение за извършване на електромонтажни работи от физически лица, които не са персонал на организацията.</w:t>
            </w:r>
          </w:p>
        </w:tc>
        <w:tc>
          <w:tcPr>
            <w:tcW w:w="3118" w:type="dxa"/>
            <w:shd w:val="clear" w:color="auto" w:fill="auto"/>
          </w:tcPr>
          <w:p w:rsidR="009A2C08" w:rsidRDefault="009D3C2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Приема се.</w:t>
            </w:r>
          </w:p>
          <w:p w:rsidR="009D3C28" w:rsidRPr="00325427" w:rsidRDefault="009D3C28" w:rsidP="009B44AA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Определението за „</w:t>
            </w:r>
            <w:r w:rsidRPr="009D3C28">
              <w:rPr>
                <w:bCs/>
                <w:sz w:val="22"/>
                <w:szCs w:val="22"/>
              </w:rPr>
              <w:t>Изпълни</w:t>
            </w:r>
            <w:r w:rsidR="00452B68">
              <w:rPr>
                <w:bCs/>
                <w:sz w:val="22"/>
                <w:szCs w:val="22"/>
              </w:rPr>
              <w:t>-</w:t>
            </w:r>
            <w:r w:rsidRPr="009D3C28">
              <w:rPr>
                <w:bCs/>
                <w:sz w:val="22"/>
                <w:szCs w:val="22"/>
              </w:rPr>
              <w:t xml:space="preserve">тел на електромонтажни </w:t>
            </w:r>
            <w:proofErr w:type="spellStart"/>
            <w:r w:rsidRPr="009D3C28">
              <w:rPr>
                <w:bCs/>
                <w:sz w:val="22"/>
                <w:szCs w:val="22"/>
              </w:rPr>
              <w:t>рабо</w:t>
            </w:r>
            <w:r w:rsidR="00452B68">
              <w:rPr>
                <w:bCs/>
                <w:sz w:val="22"/>
                <w:szCs w:val="22"/>
              </w:rPr>
              <w:t>-</w:t>
            </w:r>
            <w:r w:rsidRPr="009D3C28">
              <w:rPr>
                <w:bCs/>
                <w:sz w:val="22"/>
                <w:szCs w:val="22"/>
              </w:rPr>
              <w:t>ти</w:t>
            </w:r>
            <w:proofErr w:type="spellEnd"/>
            <w:r w:rsidRPr="009D3C28">
              <w:rPr>
                <w:bCs/>
                <w:sz w:val="22"/>
                <w:szCs w:val="22"/>
              </w:rPr>
              <w:t xml:space="preserve">“ е </w:t>
            </w:r>
            <w:proofErr w:type="spellStart"/>
            <w:r>
              <w:rPr>
                <w:bCs/>
                <w:sz w:val="22"/>
                <w:szCs w:val="22"/>
              </w:rPr>
              <w:t>прередактирано</w:t>
            </w:r>
            <w:proofErr w:type="spellEnd"/>
            <w:r>
              <w:rPr>
                <w:bCs/>
                <w:sz w:val="22"/>
                <w:szCs w:val="22"/>
              </w:rPr>
              <w:t xml:space="preserve">, като вместо „организация“ включва </w:t>
            </w:r>
            <w:r w:rsidR="00452B68">
              <w:rPr>
                <w:bCs/>
                <w:sz w:val="22"/>
                <w:szCs w:val="22"/>
              </w:rPr>
              <w:t>„</w:t>
            </w:r>
            <w:r w:rsidRPr="009D3C28">
              <w:rPr>
                <w:bCs/>
                <w:sz w:val="22"/>
                <w:szCs w:val="22"/>
              </w:rPr>
              <w:t xml:space="preserve">лице </w:t>
            </w:r>
            <w:r w:rsidR="009B44AA">
              <w:rPr>
                <w:bCs/>
                <w:sz w:val="22"/>
                <w:szCs w:val="22"/>
              </w:rPr>
              <w:t>– юридическо или физическо, което извършва...“</w:t>
            </w:r>
            <w:r w:rsidRPr="009D3C2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A2C08" w:rsidRPr="00325427" w:rsidRDefault="009A2C08" w:rsidP="0055709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9A2C08" w:rsidRPr="00325427" w:rsidRDefault="009A2C08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9A2C08" w:rsidRPr="00325427" w:rsidTr="002B3791">
        <w:trPr>
          <w:trHeight w:val="56"/>
        </w:trPr>
        <w:tc>
          <w:tcPr>
            <w:tcW w:w="709" w:type="dxa"/>
          </w:tcPr>
          <w:p w:rsidR="009A2C08" w:rsidRPr="00325427" w:rsidRDefault="009A2C08" w:rsidP="00A86835">
            <w:pPr>
              <w:tabs>
                <w:tab w:val="left" w:pos="352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9A2C08" w:rsidRPr="00325427" w:rsidRDefault="002B3791" w:rsidP="00452B68">
            <w:pPr>
              <w:tabs>
                <w:tab w:val="left" w:pos="352"/>
              </w:tabs>
              <w:ind w:left="23" w:firstLine="1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791">
              <w:rPr>
                <w:rFonts w:eastAsia="Calibri"/>
                <w:sz w:val="22"/>
                <w:szCs w:val="22"/>
                <w:lang w:eastAsia="en-US"/>
              </w:rPr>
              <w:t>В наименованието на подразделението на проекта на наредба „Преходни и заключителни разпоредби" думите „Преходни и" следва да отпаднат, тъй като включените в него § 3 и § 4 съдържат само заключителни разпоредби.</w:t>
            </w:r>
          </w:p>
        </w:tc>
        <w:tc>
          <w:tcPr>
            <w:tcW w:w="3118" w:type="dxa"/>
            <w:shd w:val="clear" w:color="auto" w:fill="auto"/>
          </w:tcPr>
          <w:p w:rsidR="009A2C08" w:rsidRDefault="00452B6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Приема се.</w:t>
            </w:r>
          </w:p>
          <w:p w:rsidR="00452B68" w:rsidRPr="00325427" w:rsidRDefault="00452B68" w:rsidP="00452B68">
            <w:pPr>
              <w:ind w:firstLine="1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Текстът е коригиран.</w:t>
            </w:r>
          </w:p>
        </w:tc>
        <w:tc>
          <w:tcPr>
            <w:tcW w:w="1985" w:type="dxa"/>
          </w:tcPr>
          <w:p w:rsidR="009A2C08" w:rsidRPr="00325427" w:rsidRDefault="009A2C08" w:rsidP="00456A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9A2C08" w:rsidRPr="00325427" w:rsidRDefault="009A2C08" w:rsidP="00A86835">
            <w:pPr>
              <w:jc w:val="both"/>
              <w:rPr>
                <w:sz w:val="22"/>
                <w:szCs w:val="22"/>
              </w:rPr>
            </w:pPr>
          </w:p>
        </w:tc>
      </w:tr>
      <w:tr w:rsidR="005972CB" w:rsidRPr="00325427" w:rsidTr="00D04941">
        <w:trPr>
          <w:trHeight w:val="56"/>
        </w:trPr>
        <w:tc>
          <w:tcPr>
            <w:tcW w:w="709" w:type="dxa"/>
            <w:shd w:val="clear" w:color="auto" w:fill="FBD4B4" w:themeFill="accent6" w:themeFillTint="66"/>
          </w:tcPr>
          <w:p w:rsidR="005972CB" w:rsidRPr="00AE1A5B" w:rsidRDefault="005972CB" w:rsidP="00D0494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AE1A5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216" w:type="dxa"/>
            <w:gridSpan w:val="4"/>
            <w:shd w:val="clear" w:color="auto" w:fill="FBD4B4" w:themeFill="accent6" w:themeFillTint="66"/>
          </w:tcPr>
          <w:p w:rsidR="005972CB" w:rsidRPr="00325427" w:rsidRDefault="005972CB" w:rsidP="00D0494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Министерството на труда и социалната политика съгласува без бележки с писмо с вх. № 03-02-46 от 30.01.2018 г.</w:t>
            </w:r>
          </w:p>
        </w:tc>
      </w:tr>
    </w:tbl>
    <w:p w:rsidR="00AF4E58" w:rsidRPr="00325427" w:rsidRDefault="00AF4E58" w:rsidP="0075041B">
      <w:pPr>
        <w:spacing w:line="360" w:lineRule="auto"/>
        <w:rPr>
          <w:sz w:val="18"/>
          <w:szCs w:val="18"/>
        </w:rPr>
      </w:pPr>
      <w:bookmarkStart w:id="0" w:name="_GoBack"/>
      <w:bookmarkEnd w:id="0"/>
    </w:p>
    <w:sectPr w:rsidR="00AF4E58" w:rsidRPr="00325427" w:rsidSect="00F31BDB">
      <w:headerReference w:type="default" r:id="rId10"/>
      <w:footerReference w:type="default" r:id="rId11"/>
      <w:footerReference w:type="first" r:id="rId12"/>
      <w:pgSz w:w="16838" w:h="11906" w:orient="landscape" w:code="9"/>
      <w:pgMar w:top="1276" w:right="1134" w:bottom="1133" w:left="851" w:header="709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15" w:rsidRDefault="00FA2515" w:rsidP="00F51933">
      <w:r>
        <w:separator/>
      </w:r>
    </w:p>
  </w:endnote>
  <w:endnote w:type="continuationSeparator" w:id="0">
    <w:p w:rsidR="00FA2515" w:rsidRDefault="00FA2515" w:rsidP="00F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C03333" w:rsidRDefault="00E74B31" w:rsidP="00B94D1E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C03333">
      <w:rPr>
        <w:sz w:val="20"/>
        <w:szCs w:val="20"/>
      </w:rPr>
      <w:t>гр. София, ул. „Св.</w:t>
    </w:r>
    <w:r w:rsidRPr="00C03333">
      <w:rPr>
        <w:sz w:val="20"/>
        <w:szCs w:val="20"/>
        <w:lang w:val="en-US"/>
      </w:rPr>
      <w:t xml:space="preserve"> </w:t>
    </w:r>
    <w:r w:rsidRPr="00C03333">
      <w:rPr>
        <w:sz w:val="20"/>
        <w:szCs w:val="20"/>
      </w:rPr>
      <w:t>Св. Кирил и Методий” 1</w:t>
    </w:r>
    <w:r w:rsidRPr="00C03333">
      <w:rPr>
        <w:sz w:val="20"/>
        <w:szCs w:val="20"/>
        <w:lang w:val="ru-RU"/>
      </w:rPr>
      <w:t>7</w:t>
    </w:r>
    <w:r w:rsidRPr="00C03333">
      <w:rPr>
        <w:sz w:val="20"/>
        <w:szCs w:val="20"/>
      </w:rPr>
      <w:t>-1</w:t>
    </w:r>
    <w:r w:rsidRPr="00C03333">
      <w:rPr>
        <w:sz w:val="20"/>
        <w:szCs w:val="20"/>
        <w:lang w:val="ru-RU"/>
      </w:rPr>
      <w:t>9</w:t>
    </w:r>
  </w:p>
  <w:p w:rsidR="00E74B31" w:rsidRPr="00C03333" w:rsidRDefault="00E74B31" w:rsidP="00B94D1E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C03333">
      <w:rPr>
        <w:sz w:val="20"/>
        <w:szCs w:val="20"/>
      </w:rPr>
      <w:t>тел.</w:t>
    </w:r>
    <w:r w:rsidRPr="00C03333">
      <w:rPr>
        <w:sz w:val="20"/>
        <w:szCs w:val="20"/>
        <w:lang w:val="ru-RU"/>
      </w:rPr>
      <w:t xml:space="preserve"> 94 059</w:t>
    </w:r>
    <w:r w:rsidRPr="00C03333">
      <w:rPr>
        <w:sz w:val="20"/>
        <w:szCs w:val="20"/>
        <w:lang w:val="en-US"/>
      </w:rPr>
      <w:t>00</w:t>
    </w:r>
    <w:r w:rsidRPr="00C03333">
      <w:rPr>
        <w:sz w:val="20"/>
        <w:szCs w:val="20"/>
      </w:rPr>
      <w:t>, факс</w:t>
    </w:r>
    <w:r w:rsidRPr="00C03333">
      <w:rPr>
        <w:sz w:val="20"/>
        <w:szCs w:val="20"/>
        <w:lang w:val="ru-RU"/>
      </w:rPr>
      <w:t xml:space="preserve"> 987 25 17</w:t>
    </w:r>
  </w:p>
  <w:p w:rsidR="00E74B31" w:rsidRDefault="00FA2515" w:rsidP="00D83587">
    <w:pPr>
      <w:pStyle w:val="Footer"/>
      <w:jc w:val="center"/>
      <w:rPr>
        <w:sz w:val="20"/>
        <w:szCs w:val="20"/>
      </w:rPr>
    </w:pPr>
    <w:hyperlink r:id="rId1" w:history="1">
      <w:r w:rsidR="00E74B31" w:rsidRPr="00C03333">
        <w:rPr>
          <w:sz w:val="20"/>
          <w:szCs w:val="20"/>
          <w:u w:val="single"/>
          <w:lang w:val="en-US"/>
        </w:rPr>
        <w:t>www.mrrb.government.bg</w:t>
      </w:r>
    </w:hyperlink>
  </w:p>
  <w:p w:rsidR="00E74B31" w:rsidRPr="00B94D1E" w:rsidRDefault="00FA2515">
    <w:pPr>
      <w:pStyle w:val="Footer"/>
      <w:jc w:val="center"/>
      <w:rPr>
        <w:sz w:val="20"/>
        <w:szCs w:val="20"/>
      </w:rPr>
    </w:pPr>
    <w:sdt>
      <w:sdtPr>
        <w:id w:val="-144507537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E74B31" w:rsidRPr="00B94D1E">
          <w:rPr>
            <w:sz w:val="20"/>
            <w:szCs w:val="20"/>
          </w:rPr>
          <w:fldChar w:fldCharType="begin"/>
        </w:r>
        <w:r w:rsidR="00E74B31" w:rsidRPr="00B94D1E">
          <w:rPr>
            <w:sz w:val="20"/>
            <w:szCs w:val="20"/>
          </w:rPr>
          <w:instrText xml:space="preserve"> PAGE   \* MERGEFORMAT </w:instrText>
        </w:r>
        <w:r w:rsidR="00E74B31" w:rsidRPr="00B94D1E">
          <w:rPr>
            <w:sz w:val="20"/>
            <w:szCs w:val="20"/>
          </w:rPr>
          <w:fldChar w:fldCharType="separate"/>
        </w:r>
        <w:r w:rsidR="005972CB">
          <w:rPr>
            <w:noProof/>
            <w:sz w:val="20"/>
            <w:szCs w:val="20"/>
          </w:rPr>
          <w:t>10</w:t>
        </w:r>
        <w:r w:rsidR="00E74B31" w:rsidRPr="00B94D1E">
          <w:rPr>
            <w:noProof/>
            <w:sz w:val="20"/>
            <w:szCs w:val="20"/>
          </w:rPr>
          <w:fldChar w:fldCharType="end"/>
        </w:r>
      </w:sdtContent>
    </w:sdt>
  </w:p>
  <w:p w:rsidR="00E74B31" w:rsidRPr="00B94D1E" w:rsidRDefault="00E74B31" w:rsidP="00B9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>гр. София, ул. „Св.</w:t>
    </w:r>
    <w:r w:rsidRPr="004B4675">
      <w:rPr>
        <w:sz w:val="20"/>
        <w:szCs w:val="20"/>
        <w:lang w:val="en-US"/>
      </w:rPr>
      <w:t xml:space="preserve"> </w:t>
    </w:r>
    <w:r w:rsidRPr="004B4675">
      <w:rPr>
        <w:sz w:val="20"/>
        <w:szCs w:val="20"/>
      </w:rPr>
      <w:t>Св. Кирил и Методий” 1</w:t>
    </w:r>
    <w:r w:rsidRPr="004B4675">
      <w:rPr>
        <w:sz w:val="20"/>
        <w:szCs w:val="20"/>
        <w:lang w:val="ru-RU"/>
      </w:rPr>
      <w:t>7</w:t>
    </w:r>
    <w:r w:rsidRPr="004B4675">
      <w:rPr>
        <w:sz w:val="20"/>
        <w:szCs w:val="20"/>
      </w:rPr>
      <w:t>-1</w:t>
    </w:r>
    <w:r w:rsidRPr="004B4675">
      <w:rPr>
        <w:sz w:val="20"/>
        <w:szCs w:val="20"/>
        <w:lang w:val="ru-RU"/>
      </w:rPr>
      <w:t>9</w:t>
    </w:r>
  </w:p>
  <w:p w:rsidR="00E74B31" w:rsidRPr="004B4675" w:rsidRDefault="00E74B31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r w:rsidRPr="004B4675">
      <w:rPr>
        <w:sz w:val="20"/>
        <w:szCs w:val="20"/>
      </w:rPr>
      <w:t xml:space="preserve">тел. </w:t>
    </w:r>
    <w:r w:rsidRPr="004B4675">
      <w:rPr>
        <w:sz w:val="20"/>
        <w:szCs w:val="20"/>
        <w:lang w:val="ru-RU"/>
      </w:rPr>
      <w:t>9405 900</w:t>
    </w:r>
    <w:r w:rsidRPr="004B4675">
      <w:rPr>
        <w:sz w:val="20"/>
        <w:szCs w:val="20"/>
      </w:rPr>
      <w:t>, факс</w:t>
    </w:r>
    <w:r w:rsidRPr="004B4675">
      <w:rPr>
        <w:sz w:val="20"/>
        <w:szCs w:val="20"/>
        <w:lang w:val="ru-RU"/>
      </w:rPr>
      <w:t xml:space="preserve"> 987 25 17</w:t>
    </w:r>
  </w:p>
  <w:p w:rsidR="00E74B31" w:rsidRPr="004B4675" w:rsidRDefault="00FA2515" w:rsidP="004B4675">
    <w:pPr>
      <w:pBdr>
        <w:top w:val="inset" w:sz="6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  <w:hyperlink r:id="rId1" w:history="1">
      <w:r w:rsidR="00E74B31" w:rsidRPr="004B4675">
        <w:rPr>
          <w:sz w:val="20"/>
          <w:szCs w:val="20"/>
          <w:u w:val="single"/>
          <w:lang w:val="en-US"/>
        </w:rPr>
        <w:t>www</w:t>
      </w:r>
      <w:r w:rsidR="00E74B31" w:rsidRPr="004B4675">
        <w:rPr>
          <w:sz w:val="20"/>
          <w:szCs w:val="20"/>
          <w:u w:val="single"/>
          <w:lang w:val="ru-RU"/>
        </w:rPr>
        <w:t>.</w:t>
      </w:r>
      <w:proofErr w:type="spellStart"/>
      <w:r w:rsidR="00E74B31" w:rsidRPr="004B4675">
        <w:rPr>
          <w:sz w:val="20"/>
          <w:szCs w:val="20"/>
          <w:u w:val="single"/>
          <w:lang w:val="en-US"/>
        </w:rPr>
        <w:t>mrrb</w:t>
      </w:r>
      <w:proofErr w:type="spellEnd"/>
      <w:r w:rsidR="00E74B31" w:rsidRPr="004B4675">
        <w:rPr>
          <w:sz w:val="20"/>
          <w:szCs w:val="20"/>
          <w:u w:val="single"/>
          <w:lang w:val="ru-RU"/>
        </w:rPr>
        <w:t>.</w:t>
      </w:r>
      <w:r w:rsidR="00E74B31" w:rsidRPr="004B4675">
        <w:rPr>
          <w:sz w:val="20"/>
          <w:szCs w:val="20"/>
          <w:u w:val="single"/>
          <w:lang w:val="en-US"/>
        </w:rPr>
        <w:t>government</w:t>
      </w:r>
      <w:r w:rsidR="00E74B31" w:rsidRPr="004B4675">
        <w:rPr>
          <w:sz w:val="20"/>
          <w:szCs w:val="20"/>
          <w:u w:val="single"/>
          <w:lang w:val="ru-RU"/>
        </w:rPr>
        <w:t>.</w:t>
      </w:r>
      <w:proofErr w:type="spellStart"/>
      <w:r w:rsidR="00E74B31" w:rsidRPr="004B4675">
        <w:rPr>
          <w:sz w:val="20"/>
          <w:szCs w:val="20"/>
          <w:u w:val="single"/>
          <w:lang w:val="en-US"/>
        </w:rPr>
        <w:t>bg</w:t>
      </w:r>
      <w:proofErr w:type="spellEnd"/>
    </w:hyperlink>
  </w:p>
  <w:p w:rsidR="00E74B31" w:rsidRPr="004B4675" w:rsidRDefault="00E74B31" w:rsidP="004B4675">
    <w:pPr>
      <w:tabs>
        <w:tab w:val="center" w:pos="4536"/>
        <w:tab w:val="right" w:pos="9072"/>
      </w:tabs>
      <w:jc w:val="center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15" w:rsidRDefault="00FA2515" w:rsidP="00F51933">
      <w:r>
        <w:separator/>
      </w:r>
    </w:p>
  </w:footnote>
  <w:footnote w:type="continuationSeparator" w:id="0">
    <w:p w:rsidR="00FA2515" w:rsidRDefault="00FA2515" w:rsidP="00F5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31" w:rsidRPr="00D81161" w:rsidRDefault="00E74B31" w:rsidP="00D81161">
    <w:pPr>
      <w:pStyle w:val="Header"/>
      <w:jc w:val="right"/>
      <w:rPr>
        <w:u w:val="single"/>
      </w:rPr>
    </w:pPr>
    <w:r w:rsidRPr="00D81161">
      <w:rPr>
        <w:u w:val="single"/>
      </w:rPr>
      <w:t>Дирекция „Технически правила и норми“, МРРБ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6E"/>
    <w:multiLevelType w:val="hybridMultilevel"/>
    <w:tmpl w:val="800E2624"/>
    <w:lvl w:ilvl="0" w:tplc="3C1EBA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5E7439"/>
    <w:multiLevelType w:val="multilevel"/>
    <w:tmpl w:val="63A429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03796"/>
    <w:multiLevelType w:val="hybridMultilevel"/>
    <w:tmpl w:val="45761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44A0"/>
    <w:multiLevelType w:val="hybridMultilevel"/>
    <w:tmpl w:val="AEE2BAB6"/>
    <w:lvl w:ilvl="0" w:tplc="0DBA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84D16"/>
    <w:multiLevelType w:val="hybridMultilevel"/>
    <w:tmpl w:val="996A1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528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68CE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289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88C"/>
    <w:multiLevelType w:val="hybridMultilevel"/>
    <w:tmpl w:val="6B4A6F10"/>
    <w:lvl w:ilvl="0" w:tplc="CD362F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683"/>
    <w:multiLevelType w:val="hybridMultilevel"/>
    <w:tmpl w:val="E6A4D09E"/>
    <w:lvl w:ilvl="0" w:tplc="2010479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A3D1A"/>
    <w:multiLevelType w:val="hybridMultilevel"/>
    <w:tmpl w:val="E86C1C62"/>
    <w:lvl w:ilvl="0" w:tplc="63005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3BB"/>
    <w:multiLevelType w:val="hybridMultilevel"/>
    <w:tmpl w:val="07663DC6"/>
    <w:lvl w:ilvl="0" w:tplc="48F2C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48AA"/>
    <w:multiLevelType w:val="hybridMultilevel"/>
    <w:tmpl w:val="A372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93773"/>
    <w:multiLevelType w:val="hybridMultilevel"/>
    <w:tmpl w:val="FBB86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9"/>
    <w:rsid w:val="0000656B"/>
    <w:rsid w:val="00014EAA"/>
    <w:rsid w:val="00014EB4"/>
    <w:rsid w:val="00015CE5"/>
    <w:rsid w:val="000163D8"/>
    <w:rsid w:val="00017A9D"/>
    <w:rsid w:val="000214D3"/>
    <w:rsid w:val="0002252A"/>
    <w:rsid w:val="00024069"/>
    <w:rsid w:val="000240A3"/>
    <w:rsid w:val="00024545"/>
    <w:rsid w:val="0002485A"/>
    <w:rsid w:val="00037905"/>
    <w:rsid w:val="0004274B"/>
    <w:rsid w:val="00043DE1"/>
    <w:rsid w:val="0004594B"/>
    <w:rsid w:val="00046D62"/>
    <w:rsid w:val="00047F60"/>
    <w:rsid w:val="00052E86"/>
    <w:rsid w:val="00052F2B"/>
    <w:rsid w:val="000530B3"/>
    <w:rsid w:val="00053AEB"/>
    <w:rsid w:val="00054070"/>
    <w:rsid w:val="00054450"/>
    <w:rsid w:val="000561F6"/>
    <w:rsid w:val="0007430D"/>
    <w:rsid w:val="0007436E"/>
    <w:rsid w:val="00075412"/>
    <w:rsid w:val="00076A1A"/>
    <w:rsid w:val="000838C1"/>
    <w:rsid w:val="00086F74"/>
    <w:rsid w:val="000972FF"/>
    <w:rsid w:val="000A0288"/>
    <w:rsid w:val="000A11E2"/>
    <w:rsid w:val="000A7CCF"/>
    <w:rsid w:val="000B1248"/>
    <w:rsid w:val="000B22D9"/>
    <w:rsid w:val="000B53CC"/>
    <w:rsid w:val="000B57B2"/>
    <w:rsid w:val="000D6337"/>
    <w:rsid w:val="000D640A"/>
    <w:rsid w:val="000D6E35"/>
    <w:rsid w:val="000E2659"/>
    <w:rsid w:val="000E4F01"/>
    <w:rsid w:val="000E5F6E"/>
    <w:rsid w:val="000E6380"/>
    <w:rsid w:val="000F07F5"/>
    <w:rsid w:val="000F2634"/>
    <w:rsid w:val="00100545"/>
    <w:rsid w:val="001049F2"/>
    <w:rsid w:val="001050E6"/>
    <w:rsid w:val="00110FFB"/>
    <w:rsid w:val="00114E57"/>
    <w:rsid w:val="00117AAB"/>
    <w:rsid w:val="00121E2D"/>
    <w:rsid w:val="00127A72"/>
    <w:rsid w:val="001302F7"/>
    <w:rsid w:val="00132496"/>
    <w:rsid w:val="00133B00"/>
    <w:rsid w:val="00140627"/>
    <w:rsid w:val="00146466"/>
    <w:rsid w:val="001531FE"/>
    <w:rsid w:val="00156795"/>
    <w:rsid w:val="00157886"/>
    <w:rsid w:val="00161E85"/>
    <w:rsid w:val="00170F1F"/>
    <w:rsid w:val="00171770"/>
    <w:rsid w:val="00176D64"/>
    <w:rsid w:val="00187531"/>
    <w:rsid w:val="001908CC"/>
    <w:rsid w:val="00192674"/>
    <w:rsid w:val="001959F6"/>
    <w:rsid w:val="00196B8C"/>
    <w:rsid w:val="001A15F9"/>
    <w:rsid w:val="001A1716"/>
    <w:rsid w:val="001A31B5"/>
    <w:rsid w:val="001A705A"/>
    <w:rsid w:val="001B563A"/>
    <w:rsid w:val="001C0273"/>
    <w:rsid w:val="001C0345"/>
    <w:rsid w:val="001C2628"/>
    <w:rsid w:val="001C2C1C"/>
    <w:rsid w:val="001C4277"/>
    <w:rsid w:val="001C63A9"/>
    <w:rsid w:val="001D02EC"/>
    <w:rsid w:val="001D0AC2"/>
    <w:rsid w:val="001D1C65"/>
    <w:rsid w:val="001D4FB9"/>
    <w:rsid w:val="001D5619"/>
    <w:rsid w:val="001D6731"/>
    <w:rsid w:val="001D7153"/>
    <w:rsid w:val="001E5DBE"/>
    <w:rsid w:val="001F1958"/>
    <w:rsid w:val="001F1A7F"/>
    <w:rsid w:val="00200375"/>
    <w:rsid w:val="0020222C"/>
    <w:rsid w:val="002047BA"/>
    <w:rsid w:val="002140A3"/>
    <w:rsid w:val="002144B6"/>
    <w:rsid w:val="00225316"/>
    <w:rsid w:val="00231CFE"/>
    <w:rsid w:val="0023254A"/>
    <w:rsid w:val="002332FE"/>
    <w:rsid w:val="00235E8C"/>
    <w:rsid w:val="002371C0"/>
    <w:rsid w:val="00237C2A"/>
    <w:rsid w:val="00241622"/>
    <w:rsid w:val="002435F3"/>
    <w:rsid w:val="00244292"/>
    <w:rsid w:val="00244FE5"/>
    <w:rsid w:val="00245AE4"/>
    <w:rsid w:val="002515B4"/>
    <w:rsid w:val="00262DBB"/>
    <w:rsid w:val="0027192F"/>
    <w:rsid w:val="00272FE8"/>
    <w:rsid w:val="00273C03"/>
    <w:rsid w:val="0028788E"/>
    <w:rsid w:val="002A7777"/>
    <w:rsid w:val="002B22E2"/>
    <w:rsid w:val="002B299A"/>
    <w:rsid w:val="002B3791"/>
    <w:rsid w:val="002C0C6D"/>
    <w:rsid w:val="002C2704"/>
    <w:rsid w:val="002C286F"/>
    <w:rsid w:val="002D13AB"/>
    <w:rsid w:val="002D286F"/>
    <w:rsid w:val="002D51CF"/>
    <w:rsid w:val="002D63C7"/>
    <w:rsid w:val="002E1DAF"/>
    <w:rsid w:val="002E3D77"/>
    <w:rsid w:val="002E4F45"/>
    <w:rsid w:val="002E5662"/>
    <w:rsid w:val="002E5BC7"/>
    <w:rsid w:val="002E6772"/>
    <w:rsid w:val="002F0058"/>
    <w:rsid w:val="002F1887"/>
    <w:rsid w:val="00303099"/>
    <w:rsid w:val="00314772"/>
    <w:rsid w:val="00315FBB"/>
    <w:rsid w:val="00324538"/>
    <w:rsid w:val="00325427"/>
    <w:rsid w:val="003276E2"/>
    <w:rsid w:val="003319D1"/>
    <w:rsid w:val="00334BAF"/>
    <w:rsid w:val="0034353B"/>
    <w:rsid w:val="003460F0"/>
    <w:rsid w:val="00347ABE"/>
    <w:rsid w:val="00356EAD"/>
    <w:rsid w:val="00357B39"/>
    <w:rsid w:val="00360202"/>
    <w:rsid w:val="0036142F"/>
    <w:rsid w:val="00362D26"/>
    <w:rsid w:val="00363CBD"/>
    <w:rsid w:val="00386923"/>
    <w:rsid w:val="003919C8"/>
    <w:rsid w:val="003A14AD"/>
    <w:rsid w:val="003A186A"/>
    <w:rsid w:val="003B0D0C"/>
    <w:rsid w:val="003B6E10"/>
    <w:rsid w:val="003C00C7"/>
    <w:rsid w:val="003C2B41"/>
    <w:rsid w:val="003D0DBC"/>
    <w:rsid w:val="003D2993"/>
    <w:rsid w:val="003D2EC8"/>
    <w:rsid w:val="003D69E5"/>
    <w:rsid w:val="003E582A"/>
    <w:rsid w:val="003F0654"/>
    <w:rsid w:val="003F159B"/>
    <w:rsid w:val="003F332C"/>
    <w:rsid w:val="00404FB9"/>
    <w:rsid w:val="0041042D"/>
    <w:rsid w:val="004156E8"/>
    <w:rsid w:val="00420ECF"/>
    <w:rsid w:val="00422445"/>
    <w:rsid w:val="0042577C"/>
    <w:rsid w:val="00426241"/>
    <w:rsid w:val="00432F6B"/>
    <w:rsid w:val="00433FCC"/>
    <w:rsid w:val="00444BA9"/>
    <w:rsid w:val="00447E3F"/>
    <w:rsid w:val="00452B68"/>
    <w:rsid w:val="00453123"/>
    <w:rsid w:val="004538DC"/>
    <w:rsid w:val="004540A3"/>
    <w:rsid w:val="00456ADB"/>
    <w:rsid w:val="00457392"/>
    <w:rsid w:val="00463863"/>
    <w:rsid w:val="00470F6D"/>
    <w:rsid w:val="004801A6"/>
    <w:rsid w:val="0048232B"/>
    <w:rsid w:val="00485422"/>
    <w:rsid w:val="00490992"/>
    <w:rsid w:val="00493D35"/>
    <w:rsid w:val="004950B0"/>
    <w:rsid w:val="004A4273"/>
    <w:rsid w:val="004B11CD"/>
    <w:rsid w:val="004B4675"/>
    <w:rsid w:val="004B4789"/>
    <w:rsid w:val="004C2AEA"/>
    <w:rsid w:val="004C549A"/>
    <w:rsid w:val="004E2550"/>
    <w:rsid w:val="004E4AE6"/>
    <w:rsid w:val="004E549D"/>
    <w:rsid w:val="00503219"/>
    <w:rsid w:val="005051BE"/>
    <w:rsid w:val="00510819"/>
    <w:rsid w:val="005108F1"/>
    <w:rsid w:val="00511143"/>
    <w:rsid w:val="00516E43"/>
    <w:rsid w:val="00523AD2"/>
    <w:rsid w:val="00532C3E"/>
    <w:rsid w:val="00532D82"/>
    <w:rsid w:val="00533530"/>
    <w:rsid w:val="005421D3"/>
    <w:rsid w:val="00547E44"/>
    <w:rsid w:val="00547EC2"/>
    <w:rsid w:val="0055098F"/>
    <w:rsid w:val="00555479"/>
    <w:rsid w:val="0055709B"/>
    <w:rsid w:val="00563A68"/>
    <w:rsid w:val="00564ED9"/>
    <w:rsid w:val="00582A94"/>
    <w:rsid w:val="005844A9"/>
    <w:rsid w:val="00586A7D"/>
    <w:rsid w:val="0059291E"/>
    <w:rsid w:val="005958CB"/>
    <w:rsid w:val="00597268"/>
    <w:rsid w:val="005972CB"/>
    <w:rsid w:val="005A076D"/>
    <w:rsid w:val="005A08AC"/>
    <w:rsid w:val="005A488D"/>
    <w:rsid w:val="005B1459"/>
    <w:rsid w:val="005B7291"/>
    <w:rsid w:val="005C0B9E"/>
    <w:rsid w:val="005C23B2"/>
    <w:rsid w:val="005C5160"/>
    <w:rsid w:val="005D0E02"/>
    <w:rsid w:val="005D1133"/>
    <w:rsid w:val="005D619F"/>
    <w:rsid w:val="005E77DD"/>
    <w:rsid w:val="005F165F"/>
    <w:rsid w:val="005F4AC5"/>
    <w:rsid w:val="005F4B39"/>
    <w:rsid w:val="005F647A"/>
    <w:rsid w:val="005F64E2"/>
    <w:rsid w:val="005F766A"/>
    <w:rsid w:val="0060476A"/>
    <w:rsid w:val="00611342"/>
    <w:rsid w:val="00616F3C"/>
    <w:rsid w:val="0062176D"/>
    <w:rsid w:val="006222BE"/>
    <w:rsid w:val="00625020"/>
    <w:rsid w:val="00636E96"/>
    <w:rsid w:val="00641E15"/>
    <w:rsid w:val="00645C1C"/>
    <w:rsid w:val="00651A8C"/>
    <w:rsid w:val="00653694"/>
    <w:rsid w:val="00655D32"/>
    <w:rsid w:val="00667A6C"/>
    <w:rsid w:val="00670808"/>
    <w:rsid w:val="00671232"/>
    <w:rsid w:val="00682171"/>
    <w:rsid w:val="00687562"/>
    <w:rsid w:val="0069414B"/>
    <w:rsid w:val="00694B20"/>
    <w:rsid w:val="00695539"/>
    <w:rsid w:val="006976BB"/>
    <w:rsid w:val="006A07C5"/>
    <w:rsid w:val="006A178D"/>
    <w:rsid w:val="006A43E1"/>
    <w:rsid w:val="006B3C54"/>
    <w:rsid w:val="006B4D0D"/>
    <w:rsid w:val="006B7603"/>
    <w:rsid w:val="006C3474"/>
    <w:rsid w:val="006C59F8"/>
    <w:rsid w:val="006E0707"/>
    <w:rsid w:val="006E314B"/>
    <w:rsid w:val="006E443D"/>
    <w:rsid w:val="006E5B9A"/>
    <w:rsid w:val="006F078B"/>
    <w:rsid w:val="006F20BE"/>
    <w:rsid w:val="006F56E7"/>
    <w:rsid w:val="006F632A"/>
    <w:rsid w:val="00700DA9"/>
    <w:rsid w:val="007029D1"/>
    <w:rsid w:val="0070400A"/>
    <w:rsid w:val="00704F51"/>
    <w:rsid w:val="007067C1"/>
    <w:rsid w:val="00706875"/>
    <w:rsid w:val="00707498"/>
    <w:rsid w:val="00715DD6"/>
    <w:rsid w:val="0071615A"/>
    <w:rsid w:val="00722AD6"/>
    <w:rsid w:val="00725E6D"/>
    <w:rsid w:val="007305AE"/>
    <w:rsid w:val="007307E7"/>
    <w:rsid w:val="00730E4C"/>
    <w:rsid w:val="00731575"/>
    <w:rsid w:val="00732AAF"/>
    <w:rsid w:val="0074680F"/>
    <w:rsid w:val="0075041B"/>
    <w:rsid w:val="0075122D"/>
    <w:rsid w:val="00757629"/>
    <w:rsid w:val="00761283"/>
    <w:rsid w:val="00767107"/>
    <w:rsid w:val="00781000"/>
    <w:rsid w:val="0078319E"/>
    <w:rsid w:val="0079524B"/>
    <w:rsid w:val="007A07B5"/>
    <w:rsid w:val="007A40B2"/>
    <w:rsid w:val="007A410E"/>
    <w:rsid w:val="007B02F4"/>
    <w:rsid w:val="007B049C"/>
    <w:rsid w:val="007B68EB"/>
    <w:rsid w:val="007B7545"/>
    <w:rsid w:val="007B77A9"/>
    <w:rsid w:val="007C49D5"/>
    <w:rsid w:val="007C4B24"/>
    <w:rsid w:val="007D12F5"/>
    <w:rsid w:val="007D3B11"/>
    <w:rsid w:val="007D5131"/>
    <w:rsid w:val="007D7162"/>
    <w:rsid w:val="007E105E"/>
    <w:rsid w:val="007E6909"/>
    <w:rsid w:val="007F009F"/>
    <w:rsid w:val="007F4F76"/>
    <w:rsid w:val="00805F45"/>
    <w:rsid w:val="00811D9C"/>
    <w:rsid w:val="00814BC3"/>
    <w:rsid w:val="00823760"/>
    <w:rsid w:val="00823853"/>
    <w:rsid w:val="0082434F"/>
    <w:rsid w:val="00825051"/>
    <w:rsid w:val="0082625F"/>
    <w:rsid w:val="00827982"/>
    <w:rsid w:val="00840710"/>
    <w:rsid w:val="008423ED"/>
    <w:rsid w:val="0084286D"/>
    <w:rsid w:val="0084688B"/>
    <w:rsid w:val="008530F4"/>
    <w:rsid w:val="00855DAC"/>
    <w:rsid w:val="00863F70"/>
    <w:rsid w:val="008741A8"/>
    <w:rsid w:val="008748B7"/>
    <w:rsid w:val="00880E60"/>
    <w:rsid w:val="0088719F"/>
    <w:rsid w:val="00887366"/>
    <w:rsid w:val="00895060"/>
    <w:rsid w:val="00895551"/>
    <w:rsid w:val="00895942"/>
    <w:rsid w:val="008A5F73"/>
    <w:rsid w:val="008B0536"/>
    <w:rsid w:val="008B1465"/>
    <w:rsid w:val="008B4747"/>
    <w:rsid w:val="008C0A03"/>
    <w:rsid w:val="008C291F"/>
    <w:rsid w:val="008C55A4"/>
    <w:rsid w:val="008D2227"/>
    <w:rsid w:val="008D3B0A"/>
    <w:rsid w:val="008D4A3D"/>
    <w:rsid w:val="008D75C9"/>
    <w:rsid w:val="008E4255"/>
    <w:rsid w:val="008E60EE"/>
    <w:rsid w:val="008F124E"/>
    <w:rsid w:val="009017D9"/>
    <w:rsid w:val="009065DC"/>
    <w:rsid w:val="00915EC7"/>
    <w:rsid w:val="009238D6"/>
    <w:rsid w:val="009300D3"/>
    <w:rsid w:val="00931271"/>
    <w:rsid w:val="00931B49"/>
    <w:rsid w:val="009430AA"/>
    <w:rsid w:val="0094388D"/>
    <w:rsid w:val="0094675A"/>
    <w:rsid w:val="009554B6"/>
    <w:rsid w:val="00961145"/>
    <w:rsid w:val="009624BA"/>
    <w:rsid w:val="00963186"/>
    <w:rsid w:val="009646BC"/>
    <w:rsid w:val="00964C1D"/>
    <w:rsid w:val="009704DD"/>
    <w:rsid w:val="009727BF"/>
    <w:rsid w:val="00973C68"/>
    <w:rsid w:val="00974F3B"/>
    <w:rsid w:val="00977242"/>
    <w:rsid w:val="00980DA0"/>
    <w:rsid w:val="009A1012"/>
    <w:rsid w:val="009A2C08"/>
    <w:rsid w:val="009B1B20"/>
    <w:rsid w:val="009B439C"/>
    <w:rsid w:val="009B44AA"/>
    <w:rsid w:val="009B489C"/>
    <w:rsid w:val="009C232B"/>
    <w:rsid w:val="009C3268"/>
    <w:rsid w:val="009C4D5C"/>
    <w:rsid w:val="009C658A"/>
    <w:rsid w:val="009D1ECF"/>
    <w:rsid w:val="009D22AE"/>
    <w:rsid w:val="009D2303"/>
    <w:rsid w:val="009D3C28"/>
    <w:rsid w:val="009E00FD"/>
    <w:rsid w:val="009E039E"/>
    <w:rsid w:val="009E1B48"/>
    <w:rsid w:val="009E436F"/>
    <w:rsid w:val="009E446F"/>
    <w:rsid w:val="009F31A8"/>
    <w:rsid w:val="009F543E"/>
    <w:rsid w:val="00A049A1"/>
    <w:rsid w:val="00A0559F"/>
    <w:rsid w:val="00A10015"/>
    <w:rsid w:val="00A106FC"/>
    <w:rsid w:val="00A15DC9"/>
    <w:rsid w:val="00A17C3A"/>
    <w:rsid w:val="00A216A0"/>
    <w:rsid w:val="00A313D1"/>
    <w:rsid w:val="00A31AD3"/>
    <w:rsid w:val="00A3217B"/>
    <w:rsid w:val="00A32822"/>
    <w:rsid w:val="00A41568"/>
    <w:rsid w:val="00A434A4"/>
    <w:rsid w:val="00A43B00"/>
    <w:rsid w:val="00A51EAD"/>
    <w:rsid w:val="00A520E5"/>
    <w:rsid w:val="00A54941"/>
    <w:rsid w:val="00A57D50"/>
    <w:rsid w:val="00A627CE"/>
    <w:rsid w:val="00A64663"/>
    <w:rsid w:val="00A65218"/>
    <w:rsid w:val="00A7267C"/>
    <w:rsid w:val="00A77CBC"/>
    <w:rsid w:val="00A80221"/>
    <w:rsid w:val="00A82E98"/>
    <w:rsid w:val="00A86835"/>
    <w:rsid w:val="00A94BBB"/>
    <w:rsid w:val="00AA0A07"/>
    <w:rsid w:val="00AA3DE2"/>
    <w:rsid w:val="00AA51B3"/>
    <w:rsid w:val="00AA55D3"/>
    <w:rsid w:val="00AA75FF"/>
    <w:rsid w:val="00AB10FE"/>
    <w:rsid w:val="00AB3FC5"/>
    <w:rsid w:val="00AB50E1"/>
    <w:rsid w:val="00AB6621"/>
    <w:rsid w:val="00AB7447"/>
    <w:rsid w:val="00AC0EF6"/>
    <w:rsid w:val="00AC74B4"/>
    <w:rsid w:val="00AD244C"/>
    <w:rsid w:val="00AD56F1"/>
    <w:rsid w:val="00AE1A5B"/>
    <w:rsid w:val="00AF042F"/>
    <w:rsid w:val="00AF4793"/>
    <w:rsid w:val="00AF4E58"/>
    <w:rsid w:val="00AF5609"/>
    <w:rsid w:val="00AF7662"/>
    <w:rsid w:val="00B01072"/>
    <w:rsid w:val="00B04F8A"/>
    <w:rsid w:val="00B10FBB"/>
    <w:rsid w:val="00B12012"/>
    <w:rsid w:val="00B16A2C"/>
    <w:rsid w:val="00B221CC"/>
    <w:rsid w:val="00B22D94"/>
    <w:rsid w:val="00B273E5"/>
    <w:rsid w:val="00B31714"/>
    <w:rsid w:val="00B31875"/>
    <w:rsid w:val="00B37C69"/>
    <w:rsid w:val="00B416EB"/>
    <w:rsid w:val="00B60A93"/>
    <w:rsid w:val="00B60BA0"/>
    <w:rsid w:val="00B713B0"/>
    <w:rsid w:val="00B728D9"/>
    <w:rsid w:val="00B772EC"/>
    <w:rsid w:val="00B857BC"/>
    <w:rsid w:val="00B9342D"/>
    <w:rsid w:val="00B94D1E"/>
    <w:rsid w:val="00B964DC"/>
    <w:rsid w:val="00B96F02"/>
    <w:rsid w:val="00BA18F6"/>
    <w:rsid w:val="00BA2CF5"/>
    <w:rsid w:val="00BA4748"/>
    <w:rsid w:val="00BA6830"/>
    <w:rsid w:val="00BB23BC"/>
    <w:rsid w:val="00BB4788"/>
    <w:rsid w:val="00BB4C80"/>
    <w:rsid w:val="00BB7410"/>
    <w:rsid w:val="00BC0131"/>
    <w:rsid w:val="00BC1A5E"/>
    <w:rsid w:val="00BC631D"/>
    <w:rsid w:val="00BD02D0"/>
    <w:rsid w:val="00BD1F83"/>
    <w:rsid w:val="00BD2937"/>
    <w:rsid w:val="00BD5DFF"/>
    <w:rsid w:val="00BD7E0A"/>
    <w:rsid w:val="00BD7FB3"/>
    <w:rsid w:val="00BE53CD"/>
    <w:rsid w:val="00BF2DFE"/>
    <w:rsid w:val="00BF7E27"/>
    <w:rsid w:val="00C0316D"/>
    <w:rsid w:val="00C03333"/>
    <w:rsid w:val="00C05D65"/>
    <w:rsid w:val="00C0663D"/>
    <w:rsid w:val="00C07363"/>
    <w:rsid w:val="00C1037A"/>
    <w:rsid w:val="00C1057A"/>
    <w:rsid w:val="00C14D22"/>
    <w:rsid w:val="00C15121"/>
    <w:rsid w:val="00C210CD"/>
    <w:rsid w:val="00C2111A"/>
    <w:rsid w:val="00C21C0D"/>
    <w:rsid w:val="00C24B9C"/>
    <w:rsid w:val="00C305F9"/>
    <w:rsid w:val="00C33CBD"/>
    <w:rsid w:val="00C37178"/>
    <w:rsid w:val="00C46BA9"/>
    <w:rsid w:val="00C46E34"/>
    <w:rsid w:val="00C552DB"/>
    <w:rsid w:val="00C60632"/>
    <w:rsid w:val="00C61CCB"/>
    <w:rsid w:val="00C63E7D"/>
    <w:rsid w:val="00C6514E"/>
    <w:rsid w:val="00C66885"/>
    <w:rsid w:val="00C67A63"/>
    <w:rsid w:val="00C71872"/>
    <w:rsid w:val="00C82035"/>
    <w:rsid w:val="00C833D5"/>
    <w:rsid w:val="00C83B59"/>
    <w:rsid w:val="00C91B11"/>
    <w:rsid w:val="00CB15A3"/>
    <w:rsid w:val="00CB5112"/>
    <w:rsid w:val="00CB59B1"/>
    <w:rsid w:val="00CC3F3B"/>
    <w:rsid w:val="00CC5013"/>
    <w:rsid w:val="00CC6068"/>
    <w:rsid w:val="00CC695F"/>
    <w:rsid w:val="00CD43E8"/>
    <w:rsid w:val="00CF0AF5"/>
    <w:rsid w:val="00CF6139"/>
    <w:rsid w:val="00CF7C2A"/>
    <w:rsid w:val="00D0083A"/>
    <w:rsid w:val="00D00C04"/>
    <w:rsid w:val="00D028CA"/>
    <w:rsid w:val="00D036ED"/>
    <w:rsid w:val="00D05E35"/>
    <w:rsid w:val="00D11A45"/>
    <w:rsid w:val="00D12729"/>
    <w:rsid w:val="00D128D8"/>
    <w:rsid w:val="00D1657E"/>
    <w:rsid w:val="00D16E62"/>
    <w:rsid w:val="00D2017F"/>
    <w:rsid w:val="00D26325"/>
    <w:rsid w:val="00D27AF1"/>
    <w:rsid w:val="00D3442F"/>
    <w:rsid w:val="00D35BC0"/>
    <w:rsid w:val="00D37A12"/>
    <w:rsid w:val="00D63E1A"/>
    <w:rsid w:val="00D659BA"/>
    <w:rsid w:val="00D71FE7"/>
    <w:rsid w:val="00D748FA"/>
    <w:rsid w:val="00D74D7C"/>
    <w:rsid w:val="00D7698B"/>
    <w:rsid w:val="00D80858"/>
    <w:rsid w:val="00D81161"/>
    <w:rsid w:val="00D81ACE"/>
    <w:rsid w:val="00D83587"/>
    <w:rsid w:val="00D83D80"/>
    <w:rsid w:val="00D865F4"/>
    <w:rsid w:val="00D91C08"/>
    <w:rsid w:val="00D96523"/>
    <w:rsid w:val="00DA4000"/>
    <w:rsid w:val="00DA73AD"/>
    <w:rsid w:val="00DB44AA"/>
    <w:rsid w:val="00DB62A1"/>
    <w:rsid w:val="00DB62F2"/>
    <w:rsid w:val="00DC12D3"/>
    <w:rsid w:val="00DC251D"/>
    <w:rsid w:val="00DC30E7"/>
    <w:rsid w:val="00DC4EB7"/>
    <w:rsid w:val="00DD005E"/>
    <w:rsid w:val="00DD2F3F"/>
    <w:rsid w:val="00DD4B8E"/>
    <w:rsid w:val="00DD7965"/>
    <w:rsid w:val="00DE2B38"/>
    <w:rsid w:val="00DE32AC"/>
    <w:rsid w:val="00DE33DD"/>
    <w:rsid w:val="00DE703D"/>
    <w:rsid w:val="00DF0094"/>
    <w:rsid w:val="00DF09A1"/>
    <w:rsid w:val="00DF1EF2"/>
    <w:rsid w:val="00DF3D30"/>
    <w:rsid w:val="00E008EF"/>
    <w:rsid w:val="00E01A42"/>
    <w:rsid w:val="00E03B25"/>
    <w:rsid w:val="00E05B82"/>
    <w:rsid w:val="00E06968"/>
    <w:rsid w:val="00E07800"/>
    <w:rsid w:val="00E2336D"/>
    <w:rsid w:val="00E25BD9"/>
    <w:rsid w:val="00E26D50"/>
    <w:rsid w:val="00E3567D"/>
    <w:rsid w:val="00E44C26"/>
    <w:rsid w:val="00E52285"/>
    <w:rsid w:val="00E66DE7"/>
    <w:rsid w:val="00E67CD4"/>
    <w:rsid w:val="00E74B31"/>
    <w:rsid w:val="00E74BDF"/>
    <w:rsid w:val="00E80C56"/>
    <w:rsid w:val="00E8290D"/>
    <w:rsid w:val="00E8519F"/>
    <w:rsid w:val="00E85F44"/>
    <w:rsid w:val="00E8753E"/>
    <w:rsid w:val="00E95662"/>
    <w:rsid w:val="00E962F7"/>
    <w:rsid w:val="00EA3F91"/>
    <w:rsid w:val="00EB2907"/>
    <w:rsid w:val="00EB2C7E"/>
    <w:rsid w:val="00EB43A6"/>
    <w:rsid w:val="00EB6A4E"/>
    <w:rsid w:val="00EC2D4F"/>
    <w:rsid w:val="00EC6EE4"/>
    <w:rsid w:val="00EC7D67"/>
    <w:rsid w:val="00EE0CF4"/>
    <w:rsid w:val="00EE1707"/>
    <w:rsid w:val="00EE4DEB"/>
    <w:rsid w:val="00EE57ED"/>
    <w:rsid w:val="00EE652F"/>
    <w:rsid w:val="00EF6D55"/>
    <w:rsid w:val="00F01109"/>
    <w:rsid w:val="00F01AEC"/>
    <w:rsid w:val="00F01E05"/>
    <w:rsid w:val="00F03A31"/>
    <w:rsid w:val="00F03FF4"/>
    <w:rsid w:val="00F04C06"/>
    <w:rsid w:val="00F06EAC"/>
    <w:rsid w:val="00F12013"/>
    <w:rsid w:val="00F1669A"/>
    <w:rsid w:val="00F16AC3"/>
    <w:rsid w:val="00F207B0"/>
    <w:rsid w:val="00F20D44"/>
    <w:rsid w:val="00F227B1"/>
    <w:rsid w:val="00F27724"/>
    <w:rsid w:val="00F307BE"/>
    <w:rsid w:val="00F31BDB"/>
    <w:rsid w:val="00F32C62"/>
    <w:rsid w:val="00F338B2"/>
    <w:rsid w:val="00F339C7"/>
    <w:rsid w:val="00F33C38"/>
    <w:rsid w:val="00F340BB"/>
    <w:rsid w:val="00F34DD7"/>
    <w:rsid w:val="00F44B0E"/>
    <w:rsid w:val="00F51933"/>
    <w:rsid w:val="00F64C03"/>
    <w:rsid w:val="00F82A5C"/>
    <w:rsid w:val="00F834BB"/>
    <w:rsid w:val="00F8509A"/>
    <w:rsid w:val="00F8656E"/>
    <w:rsid w:val="00F87E12"/>
    <w:rsid w:val="00F9488B"/>
    <w:rsid w:val="00F95B87"/>
    <w:rsid w:val="00F96E65"/>
    <w:rsid w:val="00FA153D"/>
    <w:rsid w:val="00FA2515"/>
    <w:rsid w:val="00FA5791"/>
    <w:rsid w:val="00FA713A"/>
    <w:rsid w:val="00FA72E2"/>
    <w:rsid w:val="00FB0AD1"/>
    <w:rsid w:val="00FB1AE9"/>
    <w:rsid w:val="00FC0BC2"/>
    <w:rsid w:val="00FC1993"/>
    <w:rsid w:val="00FC3731"/>
    <w:rsid w:val="00FD0965"/>
    <w:rsid w:val="00FD55D6"/>
    <w:rsid w:val="00FE20DB"/>
    <w:rsid w:val="00FE5D7A"/>
    <w:rsid w:val="00FE631A"/>
    <w:rsid w:val="00FE6565"/>
    <w:rsid w:val="00FE76DD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54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B43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51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">
    <w:name w:val="Char"/>
    <w:basedOn w:val="Normal"/>
    <w:rsid w:val="0076710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3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6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561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1392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44F6-C60D-45E7-9F7B-38E1E0A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Georgieva</dc:creator>
  <cp:lastModifiedBy>Mariela Tarneva</cp:lastModifiedBy>
  <cp:revision>12</cp:revision>
  <cp:lastPrinted>2017-09-08T11:57:00Z</cp:lastPrinted>
  <dcterms:created xsi:type="dcterms:W3CDTF">2018-02-06T19:48:00Z</dcterms:created>
  <dcterms:modified xsi:type="dcterms:W3CDTF">2018-02-14T09:29:00Z</dcterms:modified>
</cp:coreProperties>
</file>